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473E" w14:textId="77777777" w:rsidR="6F2E715C" w:rsidRDefault="6F2E715C" w:rsidP="6F2E715C">
      <w:pPr>
        <w:jc w:val="center"/>
        <w:rPr>
          <w:b/>
          <w:bCs/>
          <w:color w:val="000000" w:themeColor="text1"/>
          <w:sz w:val="28"/>
          <w:szCs w:val="28"/>
        </w:rPr>
      </w:pPr>
    </w:p>
    <w:p w14:paraId="586FD4B0" w14:textId="77777777" w:rsidR="6F2E715C" w:rsidRDefault="6F2E715C" w:rsidP="6F2E715C">
      <w:pPr>
        <w:jc w:val="center"/>
        <w:rPr>
          <w:b/>
          <w:bCs/>
          <w:color w:val="000000" w:themeColor="text1"/>
          <w:sz w:val="28"/>
          <w:szCs w:val="28"/>
        </w:rPr>
      </w:pPr>
    </w:p>
    <w:p w14:paraId="401169F2" w14:textId="77777777" w:rsidR="00CA1B77" w:rsidRDefault="00CA1B77" w:rsidP="420007D4">
      <w:pPr>
        <w:keepNext/>
        <w:keepLines/>
        <w:pBdr>
          <w:top w:val="nil"/>
          <w:left w:val="nil"/>
          <w:bottom w:val="nil"/>
          <w:right w:val="nil"/>
          <w:between w:val="nil"/>
        </w:pBdr>
        <w:jc w:val="center"/>
      </w:pPr>
      <w:bookmarkStart w:id="0" w:name="_gjdgxs" w:colFirst="0" w:colLast="0"/>
      <w:bookmarkEnd w:id="0"/>
      <w:r>
        <w:t xml:space="preserve">Eastern Academy of Management Annual Conference </w:t>
      </w:r>
    </w:p>
    <w:p w14:paraId="33C37D88" w14:textId="2D30B160" w:rsidR="00CA1B77" w:rsidRDefault="00CA1B77" w:rsidP="420007D4">
      <w:pPr>
        <w:keepNext/>
        <w:keepLines/>
        <w:pBdr>
          <w:top w:val="nil"/>
          <w:left w:val="nil"/>
          <w:bottom w:val="nil"/>
          <w:right w:val="nil"/>
          <w:between w:val="nil"/>
        </w:pBdr>
        <w:jc w:val="center"/>
        <w:rPr>
          <w:b/>
          <w:bCs/>
          <w:color w:val="000000" w:themeColor="text1"/>
          <w:sz w:val="28"/>
          <w:szCs w:val="28"/>
        </w:rPr>
      </w:pPr>
      <w:r>
        <w:t>2018 Idea Incubator</w:t>
      </w:r>
    </w:p>
    <w:p w14:paraId="58DE9EA9" w14:textId="77777777" w:rsidR="00CA1B77" w:rsidRPr="00CA1B77" w:rsidRDefault="00CA1B77" w:rsidP="00CA1B77">
      <w:pPr>
        <w:pStyle w:val="Heading2"/>
        <w:spacing w:after="0"/>
        <w:rPr>
          <w:b/>
          <w:bCs/>
          <w:color w:val="000000" w:themeColor="text1"/>
          <w:sz w:val="28"/>
          <w:szCs w:val="28"/>
        </w:rPr>
      </w:pPr>
      <w:bookmarkStart w:id="1" w:name="_30j0zll" w:colFirst="0" w:colLast="0"/>
      <w:bookmarkEnd w:id="1"/>
      <w:r w:rsidRPr="00CA1B77">
        <w:rPr>
          <w:b/>
          <w:bCs/>
          <w:color w:val="000000" w:themeColor="text1"/>
          <w:sz w:val="28"/>
          <w:szCs w:val="28"/>
        </w:rPr>
        <w:t>Making a Difference through Research</w:t>
      </w:r>
    </w:p>
    <w:p w14:paraId="6C113B34" w14:textId="77777777" w:rsidR="00CA1B77" w:rsidRDefault="00CA1B77" w:rsidP="00CA1B77">
      <w:pPr>
        <w:pStyle w:val="Heading2"/>
        <w:spacing w:after="0"/>
        <w:rPr>
          <w:b/>
          <w:bCs/>
          <w:color w:val="000000" w:themeColor="text1"/>
          <w:sz w:val="28"/>
          <w:szCs w:val="28"/>
        </w:rPr>
      </w:pPr>
      <w:r w:rsidRPr="00CA1B77">
        <w:rPr>
          <w:b/>
          <w:bCs/>
          <w:color w:val="000000" w:themeColor="text1"/>
          <w:sz w:val="28"/>
          <w:szCs w:val="28"/>
        </w:rPr>
        <w:t xml:space="preserve">Demystifying Gender Bias Intensity in Service Based </w:t>
      </w:r>
      <w:proofErr w:type="spellStart"/>
      <w:r w:rsidRPr="00CA1B77">
        <w:rPr>
          <w:b/>
          <w:bCs/>
          <w:color w:val="000000" w:themeColor="text1"/>
          <w:sz w:val="28"/>
          <w:szCs w:val="28"/>
        </w:rPr>
        <w:t>Organizations</w:t>
      </w:r>
    </w:p>
    <w:p w14:paraId="1E55225D" w14:textId="77777777" w:rsidR="00CA1B77" w:rsidRDefault="00CA1B77" w:rsidP="00CA1B77">
      <w:pPr>
        <w:pStyle w:val="Heading2"/>
        <w:spacing w:after="0"/>
        <w:rPr>
          <w:b/>
          <w:bCs/>
          <w:color w:val="000000" w:themeColor="text1"/>
          <w:sz w:val="28"/>
          <w:szCs w:val="28"/>
        </w:rPr>
      </w:pPr>
      <w:proofErr w:type="spellEnd"/>
    </w:p>
    <w:p w14:paraId="76E6E4D0" w14:textId="6C1936B8" w:rsidR="00A21A68" w:rsidRDefault="420007D4" w:rsidP="00CA1B77">
      <w:pPr>
        <w:pStyle w:val="Heading2"/>
        <w:spacing w:after="0"/>
        <w:rPr>
          <w:vertAlign w:val="superscript"/>
        </w:rPr>
      </w:pPr>
      <w:bookmarkStart w:id="2" w:name="_GoBack"/>
      <w:bookmarkEnd w:id="2"/>
      <w:r>
        <w:t>Noel Criscione-Naylor</w:t>
      </w:r>
    </w:p>
    <w:p w14:paraId="12E5083C" w14:textId="77777777" w:rsidR="00A21A68" w:rsidRDefault="420007D4" w:rsidP="420007D4">
      <w:pPr>
        <w:pStyle w:val="Heading2"/>
        <w:spacing w:after="0"/>
        <w:rPr>
          <w:vertAlign w:val="superscript"/>
        </w:rPr>
      </w:pPr>
      <w:r>
        <w:t>Stockton University</w:t>
      </w:r>
    </w:p>
    <w:p w14:paraId="7779A542" w14:textId="77777777" w:rsidR="00A21A68" w:rsidRDefault="00A21A68" w:rsidP="6F2E715C">
      <w:pPr>
        <w:pStyle w:val="Heading2"/>
        <w:spacing w:after="0"/>
      </w:pPr>
    </w:p>
    <w:p w14:paraId="10C5CF6A" w14:textId="77777777" w:rsidR="00A21A68" w:rsidRDefault="03F9E0D9" w:rsidP="6F2E715C">
      <w:pPr>
        <w:pStyle w:val="Heading2"/>
        <w:spacing w:after="0"/>
      </w:pPr>
      <w:r>
        <w:t>Jane Bokunewicz</w:t>
      </w:r>
    </w:p>
    <w:p w14:paraId="0FB2C17E" w14:textId="77777777" w:rsidR="00A21A68" w:rsidRDefault="420007D4" w:rsidP="420007D4">
      <w:pPr>
        <w:spacing w:after="0"/>
        <w:jc w:val="center"/>
        <w:rPr>
          <w:sz w:val="22"/>
          <w:szCs w:val="22"/>
        </w:rPr>
      </w:pPr>
      <w:r>
        <w:t>Stockton University</w:t>
      </w:r>
    </w:p>
    <w:p w14:paraId="57B5CA26" w14:textId="77777777" w:rsidR="00A21A68" w:rsidRDefault="00A21A68" w:rsidP="6F2E715C">
      <w:pPr>
        <w:spacing w:after="0"/>
        <w:jc w:val="center"/>
        <w:rPr>
          <w:sz w:val="22"/>
          <w:szCs w:val="22"/>
        </w:rPr>
      </w:pPr>
    </w:p>
    <w:p w14:paraId="741909AA" w14:textId="77777777" w:rsidR="00A21A68" w:rsidRDefault="00A21A68" w:rsidP="6F2E715C">
      <w:pPr>
        <w:spacing w:after="0"/>
        <w:jc w:val="center"/>
        <w:rPr>
          <w:sz w:val="22"/>
          <w:szCs w:val="22"/>
        </w:rPr>
      </w:pPr>
    </w:p>
    <w:p w14:paraId="7F94B43E" w14:textId="77777777" w:rsidR="00A21A68" w:rsidRDefault="00A21A68" w:rsidP="6F2E715C">
      <w:pPr>
        <w:spacing w:after="0"/>
        <w:jc w:val="center"/>
        <w:rPr>
          <w:sz w:val="22"/>
          <w:szCs w:val="22"/>
        </w:rPr>
      </w:pPr>
    </w:p>
    <w:p w14:paraId="73E08CF8" w14:textId="77777777" w:rsidR="00066259" w:rsidRPr="00066259" w:rsidRDefault="00066259" w:rsidP="6F2E715C">
      <w:pPr>
        <w:spacing w:after="0"/>
        <w:jc w:val="left"/>
        <w:rPr>
          <w:b/>
        </w:rPr>
      </w:pPr>
      <w:bookmarkStart w:id="3" w:name="_1fob9te" w:colFirst="0" w:colLast="0"/>
      <w:bookmarkEnd w:id="3"/>
      <w:r w:rsidRPr="00066259">
        <w:rPr>
          <w:b/>
        </w:rPr>
        <w:t>Abstract</w:t>
      </w:r>
    </w:p>
    <w:p w14:paraId="248AEB1E" w14:textId="77777777" w:rsidR="00066259" w:rsidRDefault="00066259" w:rsidP="6F2E715C">
      <w:pPr>
        <w:spacing w:after="0"/>
        <w:jc w:val="left"/>
      </w:pPr>
    </w:p>
    <w:p w14:paraId="00CEF3BD" w14:textId="006AA8FB" w:rsidR="00A21A68" w:rsidRDefault="00066259" w:rsidP="6F2E715C">
      <w:pPr>
        <w:spacing w:after="0"/>
        <w:jc w:val="left"/>
      </w:pPr>
      <w:r>
        <w:t xml:space="preserve">Gender inequality and the value of gender diversity are widely acknowledged in the literature. Women experience organizational barriers relative to their success; yet, there are clear links between increases in representation of women in leadership roles to increases in financial results. As </w:t>
      </w:r>
      <w:proofErr w:type="gramStart"/>
      <w:r>
        <w:t>service based</w:t>
      </w:r>
      <w:proofErr w:type="gramEnd"/>
      <w:r>
        <w:t xml:space="preserve"> industries seek for a competitive means in a highly saturated and differentiated market, organizations should not neglect moving women to the top of their strategy focus and activities. Accordingly, this research investigated the intensity of gender bias in </w:t>
      </w:r>
      <w:proofErr w:type="gramStart"/>
      <w:r>
        <w:t>service based</w:t>
      </w:r>
      <w:proofErr w:type="gramEnd"/>
      <w:r>
        <w:t xml:space="preserve"> industries by functional area and examined the linkages between gender, gender bias, leadership rank, and equal opportunity measures to support organizations in using gender as a competitive strategy. This research was conducted with 138 participants and revealed gender bias as a complicated manifestation explained through the lens of Pluralistic Ignorance. Findings of this study demonstrate more women than men experienced gender bias despite both genders reporting equality in the workplace. This research contributes to understanding gender bias intensity factors, with the acknowledgement of Pluralistic Ignorance to explain contrary data, to promote organizational awareness and direct efforts.</w:t>
      </w:r>
    </w:p>
    <w:p w14:paraId="16E158D0" w14:textId="5E18DCCF" w:rsidR="00066259" w:rsidRDefault="00066259" w:rsidP="6F2E715C">
      <w:pPr>
        <w:spacing w:after="0"/>
        <w:jc w:val="left"/>
      </w:pPr>
    </w:p>
    <w:p w14:paraId="7ADBCDD8" w14:textId="6DC2A5BB" w:rsidR="00066259" w:rsidRDefault="00066259" w:rsidP="6F2E715C">
      <w:pPr>
        <w:spacing w:after="0"/>
        <w:jc w:val="left"/>
        <w:rPr>
          <w:sz w:val="22"/>
          <w:szCs w:val="22"/>
        </w:rPr>
      </w:pPr>
      <w:r w:rsidRPr="00066259">
        <w:rPr>
          <w:b/>
        </w:rPr>
        <w:t>Key Words:</w:t>
      </w:r>
      <w:r>
        <w:t xml:space="preserve"> gender, gender bias, gender stereotype, gender stigma, pluralistic ignorance, work environment, women, diversity, human resources</w:t>
      </w:r>
    </w:p>
    <w:p w14:paraId="283962F2" w14:textId="77777777" w:rsidR="00066259" w:rsidRDefault="00066259" w:rsidP="420007D4">
      <w:pPr>
        <w:pBdr>
          <w:top w:val="nil"/>
          <w:left w:val="nil"/>
          <w:bottom w:val="nil"/>
          <w:right w:val="nil"/>
          <w:between w:val="nil"/>
        </w:pBdr>
        <w:rPr>
          <w:b/>
          <w:bCs/>
          <w:color w:val="000000" w:themeColor="text1"/>
          <w:sz w:val="22"/>
          <w:szCs w:val="22"/>
        </w:rPr>
      </w:pPr>
    </w:p>
    <w:p w14:paraId="1E693948" w14:textId="33B0FF28" w:rsidR="00A21A68" w:rsidRDefault="420007D4" w:rsidP="420007D4">
      <w:pPr>
        <w:pBdr>
          <w:top w:val="nil"/>
          <w:left w:val="nil"/>
          <w:bottom w:val="nil"/>
          <w:right w:val="nil"/>
          <w:between w:val="nil"/>
        </w:pBdr>
        <w:rPr>
          <w:b/>
          <w:bCs/>
          <w:color w:val="000000" w:themeColor="text1"/>
          <w:sz w:val="22"/>
          <w:szCs w:val="22"/>
        </w:rPr>
      </w:pPr>
      <w:r w:rsidRPr="420007D4">
        <w:rPr>
          <w:b/>
          <w:bCs/>
          <w:color w:val="000000" w:themeColor="text1"/>
          <w:sz w:val="22"/>
          <w:szCs w:val="22"/>
        </w:rPr>
        <w:t>INTRODUCTION</w:t>
      </w:r>
    </w:p>
    <w:p w14:paraId="02124BAA" w14:textId="42D08B24" w:rsidR="00A21A68" w:rsidRDefault="420007D4" w:rsidP="00066259">
      <w:pPr>
        <w:spacing w:after="0"/>
        <w:ind w:firstLine="720"/>
        <w:jc w:val="left"/>
        <w:rPr>
          <w:sz w:val="22"/>
          <w:szCs w:val="22"/>
        </w:rPr>
      </w:pPr>
      <w:r w:rsidRPr="420007D4">
        <w:rPr>
          <w:sz w:val="22"/>
          <w:szCs w:val="22"/>
        </w:rPr>
        <w:t>Gender inequality and the value of gender diversity are widely acknowledged in the literature. Despite links between women and increases in financial results, gender bias is routinely overlooked and minimalized. Although there have been improvements between the wage disparity amongst men and women, the glass ceiling continues to triumph with the support of several other barriers to the success of women</w:t>
      </w:r>
      <w:r w:rsidR="00066259">
        <w:rPr>
          <w:sz w:val="22"/>
          <w:szCs w:val="22"/>
        </w:rPr>
        <w:t xml:space="preserve">. </w:t>
      </w:r>
      <w:r w:rsidR="03F9E0D9" w:rsidRPr="03F9E0D9">
        <w:rPr>
          <w:sz w:val="22"/>
          <w:szCs w:val="22"/>
        </w:rPr>
        <w:t xml:space="preserve">As service intense organizations seek for a competitive strategy to combat a highly saturated and </w:t>
      </w:r>
      <w:r w:rsidR="03F9E0D9" w:rsidRPr="03F9E0D9">
        <w:rPr>
          <w:sz w:val="22"/>
          <w:szCs w:val="22"/>
        </w:rPr>
        <w:lastRenderedPageBreak/>
        <w:t>differentiated market as well as the growing proportion of women spending contribution, organizations need to focus on increasing organizational gender balance and leverage women talent. Research has investigated and explored the relationships between women and men and the impact of gender from the perspective of leader and subordinate and the glass ceiling phenomenon. Women leadership has also been contextualized and compared to that of men in the hotel, gaming, and food and beverage segment. However, there is a significant gap in the literature that omits comparatively understanding the manifestation and impact of gender bias across traditional service-based disciplines</w:t>
      </w:r>
      <w:r w:rsidR="00066259">
        <w:rPr>
          <w:sz w:val="22"/>
          <w:szCs w:val="22"/>
        </w:rPr>
        <w:t xml:space="preserve">. </w:t>
      </w:r>
      <w:r w:rsidR="03F9E0D9" w:rsidRPr="03F9E0D9">
        <w:rPr>
          <w:sz w:val="22"/>
          <w:szCs w:val="22"/>
        </w:rPr>
        <w:t>The results of this study indicate a marginal relationship between perceived gender of a leader to subordinate and low acknowledgement of organizational and leader reinforcement of gender bias despite reports of its existence. This study identified contrary positions on the perceptions of gender bias held by men and women.</w:t>
      </w:r>
    </w:p>
    <w:p w14:paraId="476C3187" w14:textId="77777777" w:rsidR="00066259" w:rsidRDefault="00066259" w:rsidP="6F2E715C">
      <w:pPr>
        <w:spacing w:line="259" w:lineRule="auto"/>
        <w:rPr>
          <w:b/>
          <w:bCs/>
          <w:color w:val="000000" w:themeColor="text1"/>
          <w:sz w:val="22"/>
          <w:szCs w:val="22"/>
        </w:rPr>
      </w:pPr>
    </w:p>
    <w:p w14:paraId="12ED7AC6" w14:textId="034E5B91" w:rsidR="6F2E715C" w:rsidRDefault="00066259" w:rsidP="6F2E715C">
      <w:pPr>
        <w:spacing w:line="259" w:lineRule="auto"/>
      </w:pPr>
      <w:r>
        <w:rPr>
          <w:b/>
          <w:bCs/>
          <w:color w:val="000000" w:themeColor="text1"/>
          <w:sz w:val="22"/>
          <w:szCs w:val="22"/>
        </w:rPr>
        <w:t xml:space="preserve">ABBREIVATED </w:t>
      </w:r>
      <w:r w:rsidR="420007D4" w:rsidRPr="420007D4">
        <w:rPr>
          <w:b/>
          <w:bCs/>
          <w:color w:val="000000" w:themeColor="text1"/>
          <w:sz w:val="22"/>
          <w:szCs w:val="22"/>
        </w:rPr>
        <w:t>LITERATURE REVIEW</w:t>
      </w:r>
    </w:p>
    <w:p w14:paraId="3B8BB262" w14:textId="15194792" w:rsidR="00A21A68" w:rsidRDefault="00066259" w:rsidP="03F9E0D9">
      <w:pPr>
        <w:spacing w:after="0"/>
        <w:ind w:firstLine="720"/>
        <w:jc w:val="left"/>
        <w:rPr>
          <w:sz w:val="22"/>
          <w:szCs w:val="22"/>
        </w:rPr>
      </w:pPr>
      <w:r>
        <w:rPr>
          <w:sz w:val="22"/>
          <w:szCs w:val="22"/>
        </w:rPr>
        <w:t>o</w:t>
      </w:r>
      <w:r w:rsidR="03F9E0D9" w:rsidRPr="03F9E0D9">
        <w:rPr>
          <w:sz w:val="22"/>
          <w:szCs w:val="22"/>
        </w:rPr>
        <w:t xml:space="preserve">rganizations must build a diverse environment, realizing that this can only be accomplished when women participate in all levels of management allowing talent to come together regardless of gender differences to affect business decisions (Evans, 2011). Organizations need to develop and promote change to the damaging impact of gender stereotyping and remove this barrier of bottom line performance potential through increasing gender balance in their organization (Blayney &amp; </w:t>
      </w:r>
      <w:proofErr w:type="spellStart"/>
      <w:r w:rsidR="03F9E0D9" w:rsidRPr="03F9E0D9">
        <w:rPr>
          <w:sz w:val="22"/>
          <w:szCs w:val="22"/>
        </w:rPr>
        <w:t>Blotnicky</w:t>
      </w:r>
      <w:proofErr w:type="spellEnd"/>
      <w:r w:rsidR="03F9E0D9" w:rsidRPr="03F9E0D9">
        <w:rPr>
          <w:sz w:val="22"/>
          <w:szCs w:val="22"/>
        </w:rPr>
        <w:t xml:space="preserve">, 2010; Evans, 2011). Clear links to the increased representation of women has already demonstrated positive bottom line results supporting the belief that women drive performance and contribute to an organization’s competitive resources (Blayney &amp; </w:t>
      </w:r>
      <w:proofErr w:type="spellStart"/>
      <w:r w:rsidR="03F9E0D9" w:rsidRPr="03F9E0D9">
        <w:rPr>
          <w:sz w:val="22"/>
          <w:szCs w:val="22"/>
        </w:rPr>
        <w:t>Blotnicky</w:t>
      </w:r>
      <w:proofErr w:type="spellEnd"/>
      <w:r w:rsidR="03F9E0D9" w:rsidRPr="03F9E0D9">
        <w:rPr>
          <w:sz w:val="22"/>
          <w:szCs w:val="22"/>
        </w:rPr>
        <w:t>, 2010; Evans, 2011; Miller &amp; Sisk, 2012).</w:t>
      </w:r>
    </w:p>
    <w:p w14:paraId="794729C6" w14:textId="05DB569A" w:rsidR="00A21A68" w:rsidRDefault="03F9E0D9" w:rsidP="03F9E0D9">
      <w:pPr>
        <w:spacing w:after="0"/>
        <w:ind w:firstLine="720"/>
        <w:jc w:val="left"/>
        <w:rPr>
          <w:sz w:val="22"/>
          <w:szCs w:val="22"/>
        </w:rPr>
      </w:pPr>
      <w:r w:rsidRPr="03F9E0D9">
        <w:rPr>
          <w:sz w:val="22"/>
          <w:szCs w:val="22"/>
        </w:rPr>
        <w:t xml:space="preserve">Women find themselves trapped in leadership, gender stigmas. Women leaders face higher standards than male leaders and are rewarded less. Women that exhibit traditionally valued masculine leadership behaviors such as assertiveness are perceived as competent but are not well liked while women that exhibit more feminine, stereotypical behaviors are more well liked and perceived as not having the necessary or valued leadership skills to strategically improve the performance of the organization (Evans, 2011). Organizations hold a common belief that masculine leadership characteristics, particularly those related to business acumen and influence, result in better performance while feminine styles of management are evaluated as deficient (Evans, 2011; Miller &amp; Sisk, 2012). Although leadership characteristics and styles between men and women are marginally different, women tend to have higher interpersonal behaviors and are more oriented to demonstrate collaborative and inclusive approaches to support and maintain relationships as compared to men (Blayney &amp; </w:t>
      </w:r>
      <w:proofErr w:type="spellStart"/>
      <w:r w:rsidRPr="03F9E0D9">
        <w:rPr>
          <w:sz w:val="22"/>
          <w:szCs w:val="22"/>
        </w:rPr>
        <w:t>Blotnicky</w:t>
      </w:r>
      <w:proofErr w:type="spellEnd"/>
      <w:r w:rsidRPr="03F9E0D9">
        <w:rPr>
          <w:sz w:val="22"/>
          <w:szCs w:val="22"/>
        </w:rPr>
        <w:t xml:space="preserve">, 2010; Evans, 2011). </w:t>
      </w:r>
    </w:p>
    <w:p w14:paraId="5D72FA85" w14:textId="3767F10D" w:rsidR="00A21A68" w:rsidRDefault="03F9E0D9" w:rsidP="03F9E0D9">
      <w:pPr>
        <w:spacing w:after="0"/>
        <w:ind w:firstLine="720"/>
        <w:jc w:val="left"/>
        <w:rPr>
          <w:sz w:val="22"/>
          <w:szCs w:val="22"/>
        </w:rPr>
      </w:pPr>
      <w:r w:rsidRPr="03F9E0D9">
        <w:rPr>
          <w:sz w:val="22"/>
          <w:szCs w:val="22"/>
        </w:rPr>
        <w:t xml:space="preserve">In the development of an organizational strategy targeting the retention and promotion of women, there have been examples of success and the value of women leadership. These strategies have included developing a culture of retention and recruitment, increasing the number of women in all levels of roles, particularly leadership roles, recognizing women’s successes, and enhancing professional development opportunities (Evans, 2011). Unless organizations take immediate action to address gender bias, organizations will be unable to attract and retain talented women to compete in the market. </w:t>
      </w:r>
    </w:p>
    <w:p w14:paraId="01E94225" w14:textId="05D17149" w:rsidR="03F9E0D9" w:rsidRDefault="03F9E0D9" w:rsidP="03F9E0D9">
      <w:pPr>
        <w:spacing w:after="0"/>
        <w:ind w:firstLine="720"/>
        <w:jc w:val="left"/>
        <w:rPr>
          <w:sz w:val="22"/>
          <w:szCs w:val="22"/>
        </w:rPr>
      </w:pPr>
    </w:p>
    <w:p w14:paraId="1F01A83F" w14:textId="77777777" w:rsidR="00A21A68" w:rsidRDefault="420007D4" w:rsidP="420007D4">
      <w:pPr>
        <w:spacing w:after="0"/>
        <w:jc w:val="left"/>
        <w:rPr>
          <w:b/>
          <w:bCs/>
          <w:sz w:val="22"/>
          <w:szCs w:val="22"/>
        </w:rPr>
      </w:pPr>
      <w:r w:rsidRPr="420007D4">
        <w:rPr>
          <w:b/>
          <w:bCs/>
          <w:sz w:val="22"/>
          <w:szCs w:val="22"/>
        </w:rPr>
        <w:t>Clarifying the Nature and Meaning of Pluralistic Ignorance</w:t>
      </w:r>
    </w:p>
    <w:p w14:paraId="1DA029E4" w14:textId="77777777" w:rsidR="00A21A68" w:rsidRDefault="03F9E0D9" w:rsidP="03F9E0D9">
      <w:pPr>
        <w:spacing w:after="0"/>
        <w:ind w:firstLine="720"/>
        <w:jc w:val="left"/>
        <w:rPr>
          <w:sz w:val="22"/>
          <w:szCs w:val="22"/>
        </w:rPr>
      </w:pPr>
      <w:r w:rsidRPr="03F9E0D9">
        <w:rPr>
          <w:sz w:val="22"/>
          <w:szCs w:val="22"/>
        </w:rPr>
        <w:t>In the world of Sociology, the existence of Pluralistic Ignorance has been of great interest as a result of its consequences for employees and organizations. This social phenomenon is defined as the circumstance in which individuals infer that the perceptions, beliefs, and feelings guiding their own actions differ or are opposite from those guiding the identical actions of their peers (Halbesleben, 2009; Miller &amp; Nelson, 2002).  This is likely to occur when peers are gathered together and may explain why group members often refrain from discussing their ultimate concerns with each other (Grant, O’Neil, &amp; Stephens, 2009). This is due to group members’ lack of mutual visibility, misreading of behavioral cues by members of a reference group, or taking individual’s public behavior as diagnostic of their private thoughts and feelings (Grant, O’Neil, &amp; Stephens, 2009; Miller &amp; Nelson, 2002)</w:t>
      </w:r>
    </w:p>
    <w:p w14:paraId="2473E1BA" w14:textId="299748A1" w:rsidR="00A21A68" w:rsidRDefault="03F9E0D9" w:rsidP="03F9E0D9">
      <w:pPr>
        <w:spacing w:after="0"/>
        <w:ind w:firstLine="720"/>
        <w:jc w:val="left"/>
        <w:rPr>
          <w:sz w:val="22"/>
          <w:szCs w:val="22"/>
        </w:rPr>
      </w:pPr>
      <w:r w:rsidRPr="03F9E0D9">
        <w:rPr>
          <w:sz w:val="22"/>
          <w:szCs w:val="22"/>
        </w:rPr>
        <w:lastRenderedPageBreak/>
        <w:t xml:space="preserve">For an organization, this is important when considering the existence of gender bias as Pluralistic Ignorance can lead to an employee feeling deviant from his or her work group or the organization, reducing retention (Halbesleben, 2009). If employees experience Pluralistic Ignorance, the deviance they experience threatens their social identity; by hiding their true opinion and outwardly supporting the perceived group norm, they can appear as though they fit in with others (Halbesleben, 2009) which may increase the longevity and existence of gender bias and discrimination in the workplace. </w:t>
      </w:r>
    </w:p>
    <w:p w14:paraId="0CC76ABB" w14:textId="030FB3A7" w:rsidR="00A21A68" w:rsidRDefault="03F9E0D9" w:rsidP="00066259">
      <w:pPr>
        <w:spacing w:after="0"/>
        <w:ind w:firstLine="720"/>
        <w:jc w:val="left"/>
        <w:rPr>
          <w:sz w:val="22"/>
          <w:szCs w:val="22"/>
        </w:rPr>
      </w:pPr>
      <w:r w:rsidRPr="03F9E0D9">
        <w:rPr>
          <w:sz w:val="22"/>
          <w:szCs w:val="22"/>
        </w:rPr>
        <w:t xml:space="preserve">A consideration worthy in this study is to acknowledge within the bounds of Pluralistic Ignorance, if women feel that a majority of men are comfortable with the current environment, then they are more likely to accept the situation and even fail to report any experiences or concern. Additionally, fear, such as the fear of embarrassment of the individual or someone else, the fear of being materially exploited, and the fear of change or uncertainty—can produce avoidance behavior and hence contribute to Pluralistic Ignorance (Miller &amp; Nelson, 2002). As such, individuals inadvertently create spirals of silence and avoidance (Grant, O’Neil, &amp; Stephens, 2009). </w:t>
      </w:r>
    </w:p>
    <w:p w14:paraId="0C6BAD97" w14:textId="77777777" w:rsidR="00066259" w:rsidRDefault="00066259" w:rsidP="00066259">
      <w:pPr>
        <w:spacing w:after="0"/>
        <w:ind w:firstLine="720"/>
        <w:jc w:val="left"/>
        <w:rPr>
          <w:sz w:val="22"/>
          <w:szCs w:val="22"/>
        </w:rPr>
      </w:pPr>
    </w:p>
    <w:p w14:paraId="59562E72" w14:textId="77777777" w:rsidR="00A21A68" w:rsidRDefault="420007D4" w:rsidP="420007D4">
      <w:pPr>
        <w:spacing w:after="0"/>
        <w:jc w:val="left"/>
        <w:rPr>
          <w:b/>
          <w:bCs/>
          <w:sz w:val="22"/>
          <w:szCs w:val="22"/>
        </w:rPr>
      </w:pPr>
      <w:r w:rsidRPr="420007D4">
        <w:rPr>
          <w:b/>
          <w:bCs/>
          <w:sz w:val="22"/>
          <w:szCs w:val="22"/>
        </w:rPr>
        <w:t>METHODOLOGY</w:t>
      </w:r>
    </w:p>
    <w:p w14:paraId="5A40B330" w14:textId="77777777" w:rsidR="00A21A68" w:rsidRDefault="00A21A68" w:rsidP="6F2E715C">
      <w:pPr>
        <w:spacing w:after="0"/>
        <w:jc w:val="left"/>
        <w:rPr>
          <w:b/>
          <w:bCs/>
          <w:sz w:val="22"/>
          <w:szCs w:val="22"/>
        </w:rPr>
      </w:pPr>
    </w:p>
    <w:p w14:paraId="0317BA46" w14:textId="0CBC2B1B" w:rsidR="00A21A68" w:rsidRDefault="03F9E0D9" w:rsidP="00066259">
      <w:pPr>
        <w:spacing w:after="0"/>
        <w:ind w:firstLine="720"/>
        <w:jc w:val="left"/>
        <w:rPr>
          <w:sz w:val="22"/>
          <w:szCs w:val="22"/>
        </w:rPr>
      </w:pPr>
      <w:r w:rsidRPr="03F9E0D9">
        <w:rPr>
          <w:sz w:val="22"/>
          <w:szCs w:val="22"/>
        </w:rPr>
        <w:t>This study used a survey as a measurement instrument with Institutional Review Board approval. A 32-question survey was informed by the literature and developed.  The respondents were asked to rate the degree of their agreement or disagreement to a number of statements associated with experiencing gender bias and organizational culture in an attempt to answer the research hypotheses. Specifically, the survey utilized a five-point Likert Scale with the exception of questions asking the respondents to select their level within the organization, the gender of their direct supervisor, and demographic information. The Likert Scale ratings included the following options: strongly agree, agree, neutral/neither agree nor disagree, disagree, or strongly disagree</w:t>
      </w:r>
      <w:r w:rsidR="00066259">
        <w:rPr>
          <w:sz w:val="22"/>
          <w:szCs w:val="22"/>
        </w:rPr>
        <w:t xml:space="preserve">. </w:t>
      </w:r>
      <w:r w:rsidRPr="03F9E0D9">
        <w:rPr>
          <w:sz w:val="22"/>
          <w:szCs w:val="22"/>
        </w:rPr>
        <w:t xml:space="preserve">The survey was deployed using Surveymonkey.com and shared via social media networks including Facebook and </w:t>
      </w:r>
      <w:proofErr w:type="spellStart"/>
      <w:r w:rsidRPr="03F9E0D9">
        <w:rPr>
          <w:sz w:val="22"/>
          <w:szCs w:val="22"/>
        </w:rPr>
        <w:t>Linkedin</w:t>
      </w:r>
      <w:proofErr w:type="spellEnd"/>
      <w:r w:rsidRPr="03F9E0D9">
        <w:rPr>
          <w:sz w:val="22"/>
          <w:szCs w:val="22"/>
        </w:rPr>
        <w:t>. </w:t>
      </w:r>
      <w:r w:rsidR="420007D4" w:rsidRPr="420007D4">
        <w:rPr>
          <w:sz w:val="22"/>
          <w:szCs w:val="22"/>
        </w:rPr>
        <w:t xml:space="preserve"> </w:t>
      </w:r>
    </w:p>
    <w:p w14:paraId="4051B4AB" w14:textId="77777777" w:rsidR="6F2E715C" w:rsidRDefault="6F2E715C" w:rsidP="6F2E715C">
      <w:pPr>
        <w:spacing w:after="0"/>
        <w:jc w:val="center"/>
        <w:rPr>
          <w:b/>
          <w:bCs/>
          <w:sz w:val="22"/>
          <w:szCs w:val="22"/>
        </w:rPr>
      </w:pPr>
    </w:p>
    <w:p w14:paraId="198CE888" w14:textId="77777777" w:rsidR="00A21A68" w:rsidRDefault="420007D4" w:rsidP="420007D4">
      <w:pPr>
        <w:spacing w:after="0"/>
        <w:jc w:val="center"/>
        <w:rPr>
          <w:i/>
          <w:iCs/>
          <w:sz w:val="22"/>
          <w:szCs w:val="22"/>
        </w:rPr>
      </w:pPr>
      <w:r w:rsidRPr="420007D4">
        <w:rPr>
          <w:b/>
          <w:bCs/>
          <w:sz w:val="22"/>
          <w:szCs w:val="22"/>
        </w:rPr>
        <w:t>TABLE 1</w:t>
      </w:r>
    </w:p>
    <w:p w14:paraId="4DC15CCE" w14:textId="77777777" w:rsidR="00A21A68" w:rsidRDefault="420007D4" w:rsidP="420007D4">
      <w:pPr>
        <w:spacing w:after="0"/>
        <w:jc w:val="center"/>
        <w:rPr>
          <w:b/>
          <w:bCs/>
          <w:sz w:val="22"/>
          <w:szCs w:val="22"/>
        </w:rPr>
      </w:pPr>
      <w:r w:rsidRPr="420007D4">
        <w:rPr>
          <w:b/>
          <w:bCs/>
          <w:sz w:val="22"/>
          <w:szCs w:val="22"/>
        </w:rPr>
        <w:t>RESPONDENTS BY INDUSTRY AREA</w:t>
      </w:r>
    </w:p>
    <w:p w14:paraId="0E123BE8" w14:textId="77777777" w:rsidR="00A21A68" w:rsidRDefault="00A21A68" w:rsidP="6F2E715C">
      <w:pPr>
        <w:spacing w:after="0"/>
        <w:jc w:val="center"/>
        <w:rPr>
          <w:b/>
          <w:bCs/>
          <w:sz w:val="22"/>
          <w:szCs w:val="22"/>
        </w:rPr>
      </w:pPr>
    </w:p>
    <w:tbl>
      <w:tblPr>
        <w:tblStyle w:val="TableGrid"/>
        <w:tblW w:w="7740" w:type="dxa"/>
        <w:jc w:val="center"/>
        <w:tblLayout w:type="fixed"/>
        <w:tblLook w:val="0000" w:firstRow="0" w:lastRow="0" w:firstColumn="0" w:lastColumn="0" w:noHBand="0" w:noVBand="0"/>
      </w:tblPr>
      <w:tblGrid>
        <w:gridCol w:w="4125"/>
        <w:gridCol w:w="1275"/>
        <w:gridCol w:w="2340"/>
      </w:tblGrid>
      <w:tr w:rsidR="00A21A68" w14:paraId="14CD8733" w14:textId="77777777" w:rsidTr="03F9E0D9">
        <w:trPr>
          <w:trHeight w:val="280"/>
          <w:jc w:val="center"/>
        </w:trPr>
        <w:tc>
          <w:tcPr>
            <w:tcW w:w="4125" w:type="dxa"/>
            <w:tcMar>
              <w:top w:w="100" w:type="dxa"/>
              <w:left w:w="100" w:type="dxa"/>
              <w:bottom w:w="100" w:type="dxa"/>
              <w:right w:w="100" w:type="dxa"/>
            </w:tcMar>
          </w:tcPr>
          <w:p w14:paraId="6C90EA6D" w14:textId="77777777" w:rsidR="00A21A68" w:rsidRDefault="420007D4" w:rsidP="420007D4">
            <w:pPr>
              <w:widowControl w:val="0"/>
              <w:rPr>
                <w:sz w:val="22"/>
                <w:szCs w:val="22"/>
              </w:rPr>
            </w:pPr>
            <w:r w:rsidRPr="420007D4">
              <w:rPr>
                <w:sz w:val="22"/>
                <w:szCs w:val="22"/>
              </w:rPr>
              <w:t>Industry</w:t>
            </w:r>
          </w:p>
        </w:tc>
        <w:tc>
          <w:tcPr>
            <w:tcW w:w="1275" w:type="dxa"/>
            <w:tcMar>
              <w:top w:w="100" w:type="dxa"/>
              <w:left w:w="100" w:type="dxa"/>
              <w:bottom w:w="100" w:type="dxa"/>
              <w:right w:w="100" w:type="dxa"/>
            </w:tcMar>
          </w:tcPr>
          <w:p w14:paraId="0E7E4BD1" w14:textId="77777777" w:rsidR="00A21A68" w:rsidRDefault="420007D4" w:rsidP="420007D4">
            <w:pPr>
              <w:widowControl w:val="0"/>
              <w:rPr>
                <w:sz w:val="22"/>
                <w:szCs w:val="22"/>
              </w:rPr>
            </w:pPr>
            <w:r w:rsidRPr="420007D4">
              <w:rPr>
                <w:sz w:val="22"/>
                <w:szCs w:val="22"/>
              </w:rPr>
              <w:t>Count</w:t>
            </w:r>
          </w:p>
        </w:tc>
        <w:tc>
          <w:tcPr>
            <w:tcW w:w="2340" w:type="dxa"/>
            <w:tcMar>
              <w:top w:w="100" w:type="dxa"/>
              <w:left w:w="100" w:type="dxa"/>
              <w:bottom w:w="100" w:type="dxa"/>
              <w:right w:w="100" w:type="dxa"/>
            </w:tcMar>
          </w:tcPr>
          <w:p w14:paraId="1E2F39EA" w14:textId="77777777" w:rsidR="00A21A68" w:rsidRDefault="420007D4" w:rsidP="420007D4">
            <w:pPr>
              <w:widowControl w:val="0"/>
              <w:rPr>
                <w:sz w:val="22"/>
                <w:szCs w:val="22"/>
              </w:rPr>
            </w:pPr>
            <w:r w:rsidRPr="420007D4">
              <w:rPr>
                <w:sz w:val="22"/>
                <w:szCs w:val="22"/>
              </w:rPr>
              <w:t>Percentage</w:t>
            </w:r>
          </w:p>
        </w:tc>
      </w:tr>
      <w:tr w:rsidR="00A21A68" w14:paraId="126F5576" w14:textId="77777777" w:rsidTr="03F9E0D9">
        <w:trPr>
          <w:trHeight w:val="260"/>
          <w:jc w:val="center"/>
        </w:trPr>
        <w:tc>
          <w:tcPr>
            <w:tcW w:w="4125" w:type="dxa"/>
            <w:tcMar>
              <w:top w:w="100" w:type="dxa"/>
              <w:left w:w="100" w:type="dxa"/>
              <w:bottom w:w="100" w:type="dxa"/>
              <w:right w:w="100" w:type="dxa"/>
            </w:tcMar>
          </w:tcPr>
          <w:p w14:paraId="2BC8640E" w14:textId="77777777" w:rsidR="00A21A68" w:rsidRDefault="420007D4" w:rsidP="420007D4">
            <w:pPr>
              <w:widowControl w:val="0"/>
              <w:rPr>
                <w:sz w:val="22"/>
                <w:szCs w:val="22"/>
              </w:rPr>
            </w:pPr>
            <w:r w:rsidRPr="420007D4">
              <w:rPr>
                <w:sz w:val="22"/>
                <w:szCs w:val="22"/>
              </w:rPr>
              <w:t>Retail</w:t>
            </w:r>
          </w:p>
        </w:tc>
        <w:tc>
          <w:tcPr>
            <w:tcW w:w="1275" w:type="dxa"/>
            <w:tcMar>
              <w:top w:w="100" w:type="dxa"/>
              <w:left w:w="100" w:type="dxa"/>
              <w:bottom w:w="100" w:type="dxa"/>
              <w:right w:w="100" w:type="dxa"/>
            </w:tcMar>
          </w:tcPr>
          <w:p w14:paraId="41B32D3A" w14:textId="77777777" w:rsidR="00A21A68" w:rsidRDefault="03F9E0D9" w:rsidP="03F9E0D9">
            <w:pPr>
              <w:widowControl w:val="0"/>
              <w:rPr>
                <w:sz w:val="22"/>
                <w:szCs w:val="22"/>
              </w:rPr>
            </w:pPr>
            <w:r w:rsidRPr="03F9E0D9">
              <w:rPr>
                <w:sz w:val="22"/>
                <w:szCs w:val="22"/>
              </w:rPr>
              <w:t>6</w:t>
            </w:r>
          </w:p>
        </w:tc>
        <w:tc>
          <w:tcPr>
            <w:tcW w:w="2340" w:type="dxa"/>
            <w:tcMar>
              <w:top w:w="100" w:type="dxa"/>
              <w:left w:w="100" w:type="dxa"/>
              <w:bottom w:w="100" w:type="dxa"/>
              <w:right w:w="100" w:type="dxa"/>
            </w:tcMar>
          </w:tcPr>
          <w:p w14:paraId="11DAD022" w14:textId="77777777" w:rsidR="00A21A68" w:rsidRDefault="420007D4" w:rsidP="420007D4">
            <w:pPr>
              <w:widowControl w:val="0"/>
              <w:rPr>
                <w:sz w:val="22"/>
                <w:szCs w:val="22"/>
              </w:rPr>
            </w:pPr>
            <w:r w:rsidRPr="420007D4">
              <w:rPr>
                <w:sz w:val="22"/>
                <w:szCs w:val="22"/>
              </w:rPr>
              <w:t>4.38%</w:t>
            </w:r>
          </w:p>
        </w:tc>
      </w:tr>
      <w:tr w:rsidR="00A21A68" w14:paraId="0C49106A" w14:textId="77777777" w:rsidTr="03F9E0D9">
        <w:trPr>
          <w:trHeight w:val="260"/>
          <w:jc w:val="center"/>
        </w:trPr>
        <w:tc>
          <w:tcPr>
            <w:tcW w:w="4125" w:type="dxa"/>
            <w:tcMar>
              <w:top w:w="100" w:type="dxa"/>
              <w:left w:w="100" w:type="dxa"/>
              <w:bottom w:w="100" w:type="dxa"/>
              <w:right w:w="100" w:type="dxa"/>
            </w:tcMar>
          </w:tcPr>
          <w:p w14:paraId="542E50AE" w14:textId="77777777" w:rsidR="00A21A68" w:rsidRDefault="420007D4" w:rsidP="420007D4">
            <w:pPr>
              <w:widowControl w:val="0"/>
              <w:rPr>
                <w:sz w:val="22"/>
                <w:szCs w:val="22"/>
              </w:rPr>
            </w:pPr>
            <w:r w:rsidRPr="420007D4">
              <w:rPr>
                <w:sz w:val="22"/>
                <w:szCs w:val="22"/>
              </w:rPr>
              <w:t>Casino/Gaming</w:t>
            </w:r>
          </w:p>
        </w:tc>
        <w:tc>
          <w:tcPr>
            <w:tcW w:w="1275" w:type="dxa"/>
            <w:tcMar>
              <w:top w:w="100" w:type="dxa"/>
              <w:left w:w="100" w:type="dxa"/>
              <w:bottom w:w="100" w:type="dxa"/>
              <w:right w:w="100" w:type="dxa"/>
            </w:tcMar>
          </w:tcPr>
          <w:p w14:paraId="0FDA01A0" w14:textId="77777777" w:rsidR="00A21A68" w:rsidRDefault="03F9E0D9" w:rsidP="03F9E0D9">
            <w:pPr>
              <w:widowControl w:val="0"/>
              <w:rPr>
                <w:sz w:val="22"/>
                <w:szCs w:val="22"/>
              </w:rPr>
            </w:pPr>
            <w:r w:rsidRPr="03F9E0D9">
              <w:rPr>
                <w:sz w:val="22"/>
                <w:szCs w:val="22"/>
              </w:rPr>
              <w:t>56</w:t>
            </w:r>
          </w:p>
        </w:tc>
        <w:tc>
          <w:tcPr>
            <w:tcW w:w="2340" w:type="dxa"/>
            <w:tcMar>
              <w:top w:w="100" w:type="dxa"/>
              <w:left w:w="100" w:type="dxa"/>
              <w:bottom w:w="100" w:type="dxa"/>
              <w:right w:w="100" w:type="dxa"/>
            </w:tcMar>
          </w:tcPr>
          <w:p w14:paraId="397D0582" w14:textId="77777777" w:rsidR="00A21A68" w:rsidRDefault="420007D4" w:rsidP="420007D4">
            <w:pPr>
              <w:widowControl w:val="0"/>
              <w:rPr>
                <w:sz w:val="22"/>
                <w:szCs w:val="22"/>
              </w:rPr>
            </w:pPr>
            <w:r w:rsidRPr="420007D4">
              <w:rPr>
                <w:sz w:val="22"/>
                <w:szCs w:val="22"/>
              </w:rPr>
              <w:t>40.88%</w:t>
            </w:r>
          </w:p>
        </w:tc>
      </w:tr>
      <w:tr w:rsidR="00A21A68" w14:paraId="7D6A17EF" w14:textId="77777777" w:rsidTr="03F9E0D9">
        <w:trPr>
          <w:trHeight w:val="260"/>
          <w:jc w:val="center"/>
        </w:trPr>
        <w:tc>
          <w:tcPr>
            <w:tcW w:w="4125" w:type="dxa"/>
            <w:tcMar>
              <w:top w:w="100" w:type="dxa"/>
              <w:left w:w="100" w:type="dxa"/>
              <w:bottom w:w="100" w:type="dxa"/>
              <w:right w:w="100" w:type="dxa"/>
            </w:tcMar>
          </w:tcPr>
          <w:p w14:paraId="6A077138" w14:textId="77777777" w:rsidR="00A21A68" w:rsidRDefault="420007D4" w:rsidP="420007D4">
            <w:pPr>
              <w:widowControl w:val="0"/>
              <w:rPr>
                <w:sz w:val="22"/>
                <w:szCs w:val="22"/>
              </w:rPr>
            </w:pPr>
            <w:r w:rsidRPr="420007D4">
              <w:rPr>
                <w:sz w:val="22"/>
                <w:szCs w:val="22"/>
              </w:rPr>
              <w:t>Food and Beverage</w:t>
            </w:r>
          </w:p>
        </w:tc>
        <w:tc>
          <w:tcPr>
            <w:tcW w:w="1275" w:type="dxa"/>
            <w:tcMar>
              <w:top w:w="100" w:type="dxa"/>
              <w:left w:w="100" w:type="dxa"/>
              <w:bottom w:w="100" w:type="dxa"/>
              <w:right w:w="100" w:type="dxa"/>
            </w:tcMar>
          </w:tcPr>
          <w:p w14:paraId="3A8F72D2" w14:textId="77777777" w:rsidR="00A21A68" w:rsidRDefault="03F9E0D9" w:rsidP="03F9E0D9">
            <w:pPr>
              <w:widowControl w:val="0"/>
              <w:rPr>
                <w:sz w:val="22"/>
                <w:szCs w:val="22"/>
              </w:rPr>
            </w:pPr>
            <w:r w:rsidRPr="03F9E0D9">
              <w:rPr>
                <w:sz w:val="22"/>
                <w:szCs w:val="22"/>
              </w:rPr>
              <w:t>28</w:t>
            </w:r>
          </w:p>
        </w:tc>
        <w:tc>
          <w:tcPr>
            <w:tcW w:w="2340" w:type="dxa"/>
            <w:tcMar>
              <w:top w:w="100" w:type="dxa"/>
              <w:left w:w="100" w:type="dxa"/>
              <w:bottom w:w="100" w:type="dxa"/>
              <w:right w:w="100" w:type="dxa"/>
            </w:tcMar>
          </w:tcPr>
          <w:p w14:paraId="2C34B756" w14:textId="77777777" w:rsidR="00A21A68" w:rsidRDefault="420007D4" w:rsidP="420007D4">
            <w:pPr>
              <w:widowControl w:val="0"/>
              <w:rPr>
                <w:sz w:val="22"/>
                <w:szCs w:val="22"/>
              </w:rPr>
            </w:pPr>
            <w:r w:rsidRPr="420007D4">
              <w:rPr>
                <w:sz w:val="22"/>
                <w:szCs w:val="22"/>
              </w:rPr>
              <w:t>20.44%</w:t>
            </w:r>
          </w:p>
        </w:tc>
      </w:tr>
      <w:tr w:rsidR="00A21A68" w14:paraId="187A0B70" w14:textId="77777777" w:rsidTr="03F9E0D9">
        <w:trPr>
          <w:jc w:val="center"/>
        </w:trPr>
        <w:tc>
          <w:tcPr>
            <w:tcW w:w="4125" w:type="dxa"/>
            <w:tcMar>
              <w:top w:w="100" w:type="dxa"/>
              <w:left w:w="100" w:type="dxa"/>
              <w:bottom w:w="100" w:type="dxa"/>
              <w:right w:w="100" w:type="dxa"/>
            </w:tcMar>
          </w:tcPr>
          <w:p w14:paraId="6A2526C8" w14:textId="77777777" w:rsidR="00A21A68" w:rsidRDefault="420007D4" w:rsidP="420007D4">
            <w:pPr>
              <w:widowControl w:val="0"/>
              <w:rPr>
                <w:sz w:val="22"/>
                <w:szCs w:val="22"/>
              </w:rPr>
            </w:pPr>
            <w:r w:rsidRPr="420007D4">
              <w:rPr>
                <w:sz w:val="22"/>
                <w:szCs w:val="22"/>
              </w:rPr>
              <w:t>Hotel</w:t>
            </w:r>
          </w:p>
        </w:tc>
        <w:tc>
          <w:tcPr>
            <w:tcW w:w="1275" w:type="dxa"/>
            <w:tcMar>
              <w:top w:w="100" w:type="dxa"/>
              <w:left w:w="100" w:type="dxa"/>
              <w:bottom w:w="100" w:type="dxa"/>
              <w:right w:w="100" w:type="dxa"/>
            </w:tcMar>
          </w:tcPr>
          <w:p w14:paraId="2E4DA358" w14:textId="77777777" w:rsidR="00A21A68" w:rsidRDefault="03F9E0D9" w:rsidP="03F9E0D9">
            <w:pPr>
              <w:widowControl w:val="0"/>
              <w:rPr>
                <w:sz w:val="22"/>
                <w:szCs w:val="22"/>
              </w:rPr>
            </w:pPr>
            <w:r w:rsidRPr="03F9E0D9">
              <w:rPr>
                <w:sz w:val="22"/>
                <w:szCs w:val="22"/>
              </w:rPr>
              <w:t>14</w:t>
            </w:r>
          </w:p>
        </w:tc>
        <w:tc>
          <w:tcPr>
            <w:tcW w:w="2340" w:type="dxa"/>
            <w:tcMar>
              <w:top w:w="100" w:type="dxa"/>
              <w:left w:w="100" w:type="dxa"/>
              <w:bottom w:w="100" w:type="dxa"/>
              <w:right w:w="100" w:type="dxa"/>
            </w:tcMar>
          </w:tcPr>
          <w:p w14:paraId="738034E4" w14:textId="77777777" w:rsidR="00A21A68" w:rsidRDefault="420007D4" w:rsidP="420007D4">
            <w:pPr>
              <w:widowControl w:val="0"/>
              <w:rPr>
                <w:sz w:val="22"/>
                <w:szCs w:val="22"/>
              </w:rPr>
            </w:pPr>
            <w:r w:rsidRPr="420007D4">
              <w:rPr>
                <w:sz w:val="22"/>
                <w:szCs w:val="22"/>
              </w:rPr>
              <w:t>10.22%</w:t>
            </w:r>
          </w:p>
        </w:tc>
      </w:tr>
      <w:tr w:rsidR="00A21A68" w14:paraId="222ABAB9" w14:textId="77777777" w:rsidTr="03F9E0D9">
        <w:trPr>
          <w:jc w:val="center"/>
        </w:trPr>
        <w:tc>
          <w:tcPr>
            <w:tcW w:w="4125" w:type="dxa"/>
            <w:tcMar>
              <w:top w:w="100" w:type="dxa"/>
              <w:left w:w="100" w:type="dxa"/>
              <w:bottom w:w="100" w:type="dxa"/>
              <w:right w:w="100" w:type="dxa"/>
            </w:tcMar>
          </w:tcPr>
          <w:p w14:paraId="1D157DDD" w14:textId="77777777" w:rsidR="00A21A68" w:rsidRDefault="420007D4" w:rsidP="420007D4">
            <w:pPr>
              <w:widowControl w:val="0"/>
              <w:rPr>
                <w:sz w:val="22"/>
                <w:szCs w:val="22"/>
              </w:rPr>
            </w:pPr>
            <w:r w:rsidRPr="420007D4">
              <w:rPr>
                <w:sz w:val="22"/>
                <w:szCs w:val="22"/>
              </w:rPr>
              <w:t>Other</w:t>
            </w:r>
          </w:p>
        </w:tc>
        <w:tc>
          <w:tcPr>
            <w:tcW w:w="1275" w:type="dxa"/>
            <w:tcMar>
              <w:top w:w="100" w:type="dxa"/>
              <w:left w:w="100" w:type="dxa"/>
              <w:bottom w:w="100" w:type="dxa"/>
              <w:right w:w="100" w:type="dxa"/>
            </w:tcMar>
          </w:tcPr>
          <w:p w14:paraId="5C8A4746" w14:textId="77777777" w:rsidR="00A21A68" w:rsidRDefault="03F9E0D9" w:rsidP="03F9E0D9">
            <w:pPr>
              <w:widowControl w:val="0"/>
              <w:rPr>
                <w:sz w:val="22"/>
                <w:szCs w:val="22"/>
              </w:rPr>
            </w:pPr>
            <w:r w:rsidRPr="03F9E0D9">
              <w:rPr>
                <w:sz w:val="22"/>
                <w:szCs w:val="22"/>
              </w:rPr>
              <w:t>33</w:t>
            </w:r>
          </w:p>
        </w:tc>
        <w:tc>
          <w:tcPr>
            <w:tcW w:w="2340" w:type="dxa"/>
            <w:tcMar>
              <w:top w:w="100" w:type="dxa"/>
              <w:left w:w="100" w:type="dxa"/>
              <w:bottom w:w="100" w:type="dxa"/>
              <w:right w:w="100" w:type="dxa"/>
            </w:tcMar>
          </w:tcPr>
          <w:p w14:paraId="3FDD26EA" w14:textId="77777777" w:rsidR="00A21A68" w:rsidRDefault="420007D4" w:rsidP="420007D4">
            <w:pPr>
              <w:widowControl w:val="0"/>
              <w:rPr>
                <w:sz w:val="22"/>
                <w:szCs w:val="22"/>
              </w:rPr>
            </w:pPr>
            <w:r w:rsidRPr="420007D4">
              <w:rPr>
                <w:sz w:val="22"/>
                <w:szCs w:val="22"/>
              </w:rPr>
              <w:t>24.09%</w:t>
            </w:r>
          </w:p>
        </w:tc>
      </w:tr>
    </w:tbl>
    <w:p w14:paraId="5C4A0B45" w14:textId="77777777" w:rsidR="6F2E715C" w:rsidRDefault="6F2E715C" w:rsidP="6F2E715C">
      <w:pPr>
        <w:spacing w:after="0"/>
        <w:jc w:val="center"/>
        <w:rPr>
          <w:b/>
          <w:bCs/>
          <w:sz w:val="22"/>
          <w:szCs w:val="22"/>
        </w:rPr>
      </w:pPr>
    </w:p>
    <w:p w14:paraId="1F9F3B86" w14:textId="77777777" w:rsidR="00A21A68" w:rsidRDefault="420007D4" w:rsidP="420007D4">
      <w:pPr>
        <w:spacing w:after="0"/>
        <w:jc w:val="center"/>
        <w:rPr>
          <w:i/>
          <w:iCs/>
          <w:sz w:val="22"/>
          <w:szCs w:val="22"/>
          <w:u w:val="single"/>
        </w:rPr>
      </w:pPr>
      <w:r w:rsidRPr="420007D4">
        <w:rPr>
          <w:b/>
          <w:bCs/>
          <w:sz w:val="22"/>
          <w:szCs w:val="22"/>
        </w:rPr>
        <w:t>TABLE 2</w:t>
      </w:r>
    </w:p>
    <w:p w14:paraId="3ABB34E9" w14:textId="77777777" w:rsidR="00A21A68" w:rsidRDefault="420007D4" w:rsidP="420007D4">
      <w:pPr>
        <w:spacing w:after="0"/>
        <w:jc w:val="center"/>
        <w:rPr>
          <w:i/>
          <w:iCs/>
          <w:sz w:val="22"/>
          <w:szCs w:val="22"/>
        </w:rPr>
      </w:pPr>
      <w:r w:rsidRPr="420007D4">
        <w:rPr>
          <w:b/>
          <w:bCs/>
          <w:sz w:val="22"/>
          <w:szCs w:val="22"/>
        </w:rPr>
        <w:t>RESPONDENTS BY FUNCTIONAL AREA</w:t>
      </w:r>
    </w:p>
    <w:p w14:paraId="3AE98F15" w14:textId="77777777" w:rsidR="00A21A68" w:rsidRDefault="00A21A68" w:rsidP="6F2E715C">
      <w:pPr>
        <w:spacing w:after="0"/>
        <w:jc w:val="center"/>
        <w:rPr>
          <w:b/>
          <w:bCs/>
          <w:sz w:val="22"/>
          <w:szCs w:val="22"/>
        </w:rPr>
      </w:pPr>
    </w:p>
    <w:tbl>
      <w:tblPr>
        <w:tblStyle w:val="TableGrid"/>
        <w:tblW w:w="7800" w:type="dxa"/>
        <w:jc w:val="center"/>
        <w:tblLayout w:type="fixed"/>
        <w:tblLook w:val="0000" w:firstRow="0" w:lastRow="0" w:firstColumn="0" w:lastColumn="0" w:noHBand="0" w:noVBand="0"/>
      </w:tblPr>
      <w:tblGrid>
        <w:gridCol w:w="4065"/>
        <w:gridCol w:w="1380"/>
        <w:gridCol w:w="2355"/>
      </w:tblGrid>
      <w:tr w:rsidR="00A21A68" w14:paraId="62638DD7" w14:textId="77777777" w:rsidTr="03F9E0D9">
        <w:trPr>
          <w:trHeight w:val="300"/>
          <w:jc w:val="center"/>
        </w:trPr>
        <w:tc>
          <w:tcPr>
            <w:tcW w:w="4065" w:type="dxa"/>
            <w:tcMar>
              <w:top w:w="40" w:type="dxa"/>
              <w:left w:w="40" w:type="dxa"/>
              <w:bottom w:w="40" w:type="dxa"/>
              <w:right w:w="40" w:type="dxa"/>
            </w:tcMar>
            <w:vAlign w:val="bottom"/>
          </w:tcPr>
          <w:p w14:paraId="2D22FA90" w14:textId="77777777" w:rsidR="00A21A68" w:rsidRDefault="420007D4" w:rsidP="420007D4">
            <w:pPr>
              <w:widowControl w:val="0"/>
              <w:rPr>
                <w:sz w:val="22"/>
                <w:szCs w:val="22"/>
                <w:u w:val="single"/>
              </w:rPr>
            </w:pPr>
            <w:r w:rsidRPr="420007D4">
              <w:rPr>
                <w:sz w:val="22"/>
                <w:szCs w:val="22"/>
                <w:u w:val="single"/>
              </w:rPr>
              <w:t>Functional Area</w:t>
            </w:r>
          </w:p>
        </w:tc>
        <w:tc>
          <w:tcPr>
            <w:tcW w:w="1380" w:type="dxa"/>
            <w:tcMar>
              <w:top w:w="40" w:type="dxa"/>
              <w:left w:w="40" w:type="dxa"/>
              <w:bottom w:w="40" w:type="dxa"/>
              <w:right w:w="40" w:type="dxa"/>
            </w:tcMar>
            <w:vAlign w:val="bottom"/>
          </w:tcPr>
          <w:p w14:paraId="31F3294D" w14:textId="77777777" w:rsidR="00A21A68" w:rsidRDefault="420007D4" w:rsidP="420007D4">
            <w:pPr>
              <w:widowControl w:val="0"/>
              <w:rPr>
                <w:sz w:val="22"/>
                <w:szCs w:val="22"/>
                <w:u w:val="single"/>
              </w:rPr>
            </w:pPr>
            <w:r w:rsidRPr="420007D4">
              <w:rPr>
                <w:sz w:val="22"/>
                <w:szCs w:val="22"/>
                <w:u w:val="single"/>
              </w:rPr>
              <w:t>Count</w:t>
            </w:r>
          </w:p>
        </w:tc>
        <w:tc>
          <w:tcPr>
            <w:tcW w:w="2355" w:type="dxa"/>
            <w:tcMar>
              <w:top w:w="40" w:type="dxa"/>
              <w:left w:w="40" w:type="dxa"/>
              <w:bottom w:w="40" w:type="dxa"/>
              <w:right w:w="40" w:type="dxa"/>
            </w:tcMar>
            <w:vAlign w:val="bottom"/>
          </w:tcPr>
          <w:p w14:paraId="58843148" w14:textId="77777777" w:rsidR="00A21A68" w:rsidRDefault="420007D4" w:rsidP="420007D4">
            <w:pPr>
              <w:widowControl w:val="0"/>
              <w:rPr>
                <w:sz w:val="22"/>
                <w:szCs w:val="22"/>
                <w:u w:val="single"/>
              </w:rPr>
            </w:pPr>
            <w:r w:rsidRPr="420007D4">
              <w:rPr>
                <w:sz w:val="22"/>
                <w:szCs w:val="22"/>
                <w:u w:val="single"/>
              </w:rPr>
              <w:t>Percentage</w:t>
            </w:r>
          </w:p>
        </w:tc>
      </w:tr>
      <w:tr w:rsidR="00A21A68" w14:paraId="753E0CF1" w14:textId="77777777" w:rsidTr="03F9E0D9">
        <w:trPr>
          <w:trHeight w:val="300"/>
          <w:jc w:val="center"/>
        </w:trPr>
        <w:tc>
          <w:tcPr>
            <w:tcW w:w="4065" w:type="dxa"/>
            <w:tcMar>
              <w:top w:w="40" w:type="dxa"/>
              <w:left w:w="40" w:type="dxa"/>
              <w:bottom w:w="40" w:type="dxa"/>
              <w:right w:w="40" w:type="dxa"/>
            </w:tcMar>
          </w:tcPr>
          <w:p w14:paraId="20456685" w14:textId="77777777" w:rsidR="00A21A68" w:rsidRDefault="420007D4" w:rsidP="420007D4">
            <w:pPr>
              <w:widowControl w:val="0"/>
              <w:rPr>
                <w:sz w:val="22"/>
                <w:szCs w:val="22"/>
              </w:rPr>
            </w:pPr>
            <w:r w:rsidRPr="420007D4">
              <w:rPr>
                <w:sz w:val="22"/>
                <w:szCs w:val="22"/>
              </w:rPr>
              <w:t>Accounting</w:t>
            </w:r>
          </w:p>
        </w:tc>
        <w:tc>
          <w:tcPr>
            <w:tcW w:w="1380" w:type="dxa"/>
            <w:tcMar>
              <w:top w:w="40" w:type="dxa"/>
              <w:left w:w="40" w:type="dxa"/>
              <w:bottom w:w="40" w:type="dxa"/>
              <w:right w:w="40" w:type="dxa"/>
            </w:tcMar>
            <w:vAlign w:val="bottom"/>
          </w:tcPr>
          <w:p w14:paraId="217AC7FF" w14:textId="77777777" w:rsidR="00A21A68" w:rsidRDefault="03F9E0D9" w:rsidP="03F9E0D9">
            <w:pPr>
              <w:widowControl w:val="0"/>
              <w:rPr>
                <w:sz w:val="22"/>
                <w:szCs w:val="22"/>
              </w:rPr>
            </w:pPr>
            <w:r w:rsidRPr="03F9E0D9">
              <w:rPr>
                <w:sz w:val="22"/>
                <w:szCs w:val="22"/>
              </w:rPr>
              <w:t>4</w:t>
            </w:r>
          </w:p>
        </w:tc>
        <w:tc>
          <w:tcPr>
            <w:tcW w:w="2355" w:type="dxa"/>
            <w:tcMar>
              <w:top w:w="40" w:type="dxa"/>
              <w:left w:w="40" w:type="dxa"/>
              <w:bottom w:w="40" w:type="dxa"/>
              <w:right w:w="40" w:type="dxa"/>
            </w:tcMar>
            <w:vAlign w:val="bottom"/>
          </w:tcPr>
          <w:p w14:paraId="7E5746A4" w14:textId="77777777" w:rsidR="00A21A68" w:rsidRDefault="420007D4" w:rsidP="420007D4">
            <w:pPr>
              <w:widowControl w:val="0"/>
              <w:rPr>
                <w:sz w:val="22"/>
                <w:szCs w:val="22"/>
              </w:rPr>
            </w:pPr>
            <w:r w:rsidRPr="420007D4">
              <w:rPr>
                <w:sz w:val="22"/>
                <w:szCs w:val="22"/>
              </w:rPr>
              <w:t>2.9%</w:t>
            </w:r>
          </w:p>
        </w:tc>
      </w:tr>
      <w:tr w:rsidR="00A21A68" w14:paraId="718EFED9" w14:textId="77777777" w:rsidTr="03F9E0D9">
        <w:trPr>
          <w:trHeight w:val="300"/>
          <w:jc w:val="center"/>
        </w:trPr>
        <w:tc>
          <w:tcPr>
            <w:tcW w:w="4065" w:type="dxa"/>
            <w:tcMar>
              <w:top w:w="40" w:type="dxa"/>
              <w:left w:w="40" w:type="dxa"/>
              <w:bottom w:w="40" w:type="dxa"/>
              <w:right w:w="40" w:type="dxa"/>
            </w:tcMar>
          </w:tcPr>
          <w:p w14:paraId="6883740E" w14:textId="77777777" w:rsidR="00A21A68" w:rsidRDefault="420007D4" w:rsidP="420007D4">
            <w:pPr>
              <w:widowControl w:val="0"/>
              <w:rPr>
                <w:sz w:val="22"/>
                <w:szCs w:val="22"/>
              </w:rPr>
            </w:pPr>
            <w:r w:rsidRPr="420007D4">
              <w:rPr>
                <w:sz w:val="22"/>
                <w:szCs w:val="22"/>
              </w:rPr>
              <w:t>Administrative</w:t>
            </w:r>
          </w:p>
        </w:tc>
        <w:tc>
          <w:tcPr>
            <w:tcW w:w="1380" w:type="dxa"/>
            <w:tcMar>
              <w:top w:w="40" w:type="dxa"/>
              <w:left w:w="40" w:type="dxa"/>
              <w:bottom w:w="40" w:type="dxa"/>
              <w:right w:w="40" w:type="dxa"/>
            </w:tcMar>
            <w:vAlign w:val="bottom"/>
          </w:tcPr>
          <w:p w14:paraId="16083CB1" w14:textId="77777777" w:rsidR="00A21A68" w:rsidRDefault="03F9E0D9" w:rsidP="03F9E0D9">
            <w:pPr>
              <w:widowControl w:val="0"/>
              <w:rPr>
                <w:sz w:val="22"/>
                <w:szCs w:val="22"/>
              </w:rPr>
            </w:pPr>
            <w:r w:rsidRPr="03F9E0D9">
              <w:rPr>
                <w:sz w:val="22"/>
                <w:szCs w:val="22"/>
              </w:rPr>
              <w:t>6</w:t>
            </w:r>
          </w:p>
        </w:tc>
        <w:tc>
          <w:tcPr>
            <w:tcW w:w="2355" w:type="dxa"/>
            <w:tcMar>
              <w:top w:w="40" w:type="dxa"/>
              <w:left w:w="40" w:type="dxa"/>
              <w:bottom w:w="40" w:type="dxa"/>
              <w:right w:w="40" w:type="dxa"/>
            </w:tcMar>
            <w:vAlign w:val="bottom"/>
          </w:tcPr>
          <w:p w14:paraId="550D1297" w14:textId="77777777" w:rsidR="00A21A68" w:rsidRDefault="420007D4" w:rsidP="420007D4">
            <w:pPr>
              <w:widowControl w:val="0"/>
              <w:rPr>
                <w:sz w:val="22"/>
                <w:szCs w:val="22"/>
              </w:rPr>
            </w:pPr>
            <w:r w:rsidRPr="420007D4">
              <w:rPr>
                <w:sz w:val="22"/>
                <w:szCs w:val="22"/>
              </w:rPr>
              <w:t>4.35%</w:t>
            </w:r>
          </w:p>
        </w:tc>
      </w:tr>
      <w:tr w:rsidR="00A21A68" w14:paraId="7B392362" w14:textId="77777777" w:rsidTr="03F9E0D9">
        <w:trPr>
          <w:trHeight w:val="300"/>
          <w:jc w:val="center"/>
        </w:trPr>
        <w:tc>
          <w:tcPr>
            <w:tcW w:w="4065" w:type="dxa"/>
            <w:tcMar>
              <w:top w:w="40" w:type="dxa"/>
              <w:left w:w="40" w:type="dxa"/>
              <w:bottom w:w="40" w:type="dxa"/>
              <w:right w:w="40" w:type="dxa"/>
            </w:tcMar>
          </w:tcPr>
          <w:p w14:paraId="15D3BC6D" w14:textId="77777777" w:rsidR="00A21A68" w:rsidRDefault="420007D4" w:rsidP="420007D4">
            <w:pPr>
              <w:widowControl w:val="0"/>
              <w:rPr>
                <w:sz w:val="22"/>
                <w:szCs w:val="22"/>
              </w:rPr>
            </w:pPr>
            <w:r w:rsidRPr="420007D4">
              <w:rPr>
                <w:sz w:val="22"/>
                <w:szCs w:val="22"/>
              </w:rPr>
              <w:t>Customer Service</w:t>
            </w:r>
          </w:p>
        </w:tc>
        <w:tc>
          <w:tcPr>
            <w:tcW w:w="1380" w:type="dxa"/>
            <w:tcMar>
              <w:top w:w="40" w:type="dxa"/>
              <w:left w:w="40" w:type="dxa"/>
              <w:bottom w:w="40" w:type="dxa"/>
              <w:right w:w="40" w:type="dxa"/>
            </w:tcMar>
            <w:vAlign w:val="bottom"/>
          </w:tcPr>
          <w:p w14:paraId="76F06328" w14:textId="77777777" w:rsidR="00A21A68" w:rsidRDefault="03F9E0D9" w:rsidP="03F9E0D9">
            <w:pPr>
              <w:widowControl w:val="0"/>
              <w:rPr>
                <w:sz w:val="22"/>
                <w:szCs w:val="22"/>
              </w:rPr>
            </w:pPr>
            <w:r w:rsidRPr="03F9E0D9">
              <w:rPr>
                <w:sz w:val="22"/>
                <w:szCs w:val="22"/>
              </w:rPr>
              <w:t>23</w:t>
            </w:r>
          </w:p>
        </w:tc>
        <w:tc>
          <w:tcPr>
            <w:tcW w:w="2355" w:type="dxa"/>
            <w:tcMar>
              <w:top w:w="40" w:type="dxa"/>
              <w:left w:w="40" w:type="dxa"/>
              <w:bottom w:w="40" w:type="dxa"/>
              <w:right w:w="40" w:type="dxa"/>
            </w:tcMar>
            <w:vAlign w:val="bottom"/>
          </w:tcPr>
          <w:p w14:paraId="7F18F342" w14:textId="77777777" w:rsidR="00A21A68" w:rsidRDefault="420007D4" w:rsidP="420007D4">
            <w:pPr>
              <w:widowControl w:val="0"/>
              <w:rPr>
                <w:sz w:val="22"/>
                <w:szCs w:val="22"/>
              </w:rPr>
            </w:pPr>
            <w:r w:rsidRPr="420007D4">
              <w:rPr>
                <w:sz w:val="22"/>
                <w:szCs w:val="22"/>
              </w:rPr>
              <w:t>16.67%</w:t>
            </w:r>
          </w:p>
        </w:tc>
      </w:tr>
      <w:tr w:rsidR="00A21A68" w14:paraId="475B4CF8" w14:textId="77777777" w:rsidTr="03F9E0D9">
        <w:trPr>
          <w:trHeight w:val="300"/>
          <w:jc w:val="center"/>
        </w:trPr>
        <w:tc>
          <w:tcPr>
            <w:tcW w:w="4065" w:type="dxa"/>
            <w:tcMar>
              <w:top w:w="40" w:type="dxa"/>
              <w:left w:w="40" w:type="dxa"/>
              <w:bottom w:w="40" w:type="dxa"/>
              <w:right w:w="40" w:type="dxa"/>
            </w:tcMar>
          </w:tcPr>
          <w:p w14:paraId="5A0F62E8" w14:textId="77777777" w:rsidR="00A21A68" w:rsidRDefault="420007D4" w:rsidP="420007D4">
            <w:pPr>
              <w:widowControl w:val="0"/>
              <w:rPr>
                <w:sz w:val="22"/>
                <w:szCs w:val="22"/>
              </w:rPr>
            </w:pPr>
            <w:r w:rsidRPr="420007D4">
              <w:rPr>
                <w:sz w:val="22"/>
                <w:szCs w:val="22"/>
              </w:rPr>
              <w:lastRenderedPageBreak/>
              <w:t>Marketing</w:t>
            </w:r>
          </w:p>
        </w:tc>
        <w:tc>
          <w:tcPr>
            <w:tcW w:w="1380" w:type="dxa"/>
            <w:tcMar>
              <w:top w:w="40" w:type="dxa"/>
              <w:left w:w="40" w:type="dxa"/>
              <w:bottom w:w="40" w:type="dxa"/>
              <w:right w:w="40" w:type="dxa"/>
            </w:tcMar>
            <w:vAlign w:val="bottom"/>
          </w:tcPr>
          <w:p w14:paraId="1B52454F" w14:textId="77777777" w:rsidR="00A21A68" w:rsidRDefault="03F9E0D9" w:rsidP="03F9E0D9">
            <w:pPr>
              <w:widowControl w:val="0"/>
              <w:rPr>
                <w:sz w:val="22"/>
                <w:szCs w:val="22"/>
              </w:rPr>
            </w:pPr>
            <w:r w:rsidRPr="03F9E0D9">
              <w:rPr>
                <w:sz w:val="22"/>
                <w:szCs w:val="22"/>
              </w:rPr>
              <w:t>8</w:t>
            </w:r>
          </w:p>
        </w:tc>
        <w:tc>
          <w:tcPr>
            <w:tcW w:w="2355" w:type="dxa"/>
            <w:tcMar>
              <w:top w:w="40" w:type="dxa"/>
              <w:left w:w="40" w:type="dxa"/>
              <w:bottom w:w="40" w:type="dxa"/>
              <w:right w:w="40" w:type="dxa"/>
            </w:tcMar>
            <w:vAlign w:val="bottom"/>
          </w:tcPr>
          <w:p w14:paraId="3E39B82C" w14:textId="77777777" w:rsidR="00A21A68" w:rsidRDefault="420007D4" w:rsidP="420007D4">
            <w:pPr>
              <w:widowControl w:val="0"/>
              <w:rPr>
                <w:sz w:val="22"/>
                <w:szCs w:val="22"/>
              </w:rPr>
            </w:pPr>
            <w:r w:rsidRPr="420007D4">
              <w:rPr>
                <w:sz w:val="22"/>
                <w:szCs w:val="22"/>
              </w:rPr>
              <w:t>5.8%</w:t>
            </w:r>
          </w:p>
        </w:tc>
      </w:tr>
      <w:tr w:rsidR="00A21A68" w14:paraId="1ED2CE76" w14:textId="77777777" w:rsidTr="03F9E0D9">
        <w:trPr>
          <w:trHeight w:val="300"/>
          <w:jc w:val="center"/>
        </w:trPr>
        <w:tc>
          <w:tcPr>
            <w:tcW w:w="4065" w:type="dxa"/>
            <w:tcMar>
              <w:top w:w="40" w:type="dxa"/>
              <w:left w:w="40" w:type="dxa"/>
              <w:bottom w:w="40" w:type="dxa"/>
              <w:right w:w="40" w:type="dxa"/>
            </w:tcMar>
          </w:tcPr>
          <w:p w14:paraId="14A4AFE5" w14:textId="77777777" w:rsidR="00A21A68" w:rsidRDefault="420007D4" w:rsidP="420007D4">
            <w:pPr>
              <w:widowControl w:val="0"/>
              <w:rPr>
                <w:sz w:val="22"/>
                <w:szCs w:val="22"/>
              </w:rPr>
            </w:pPr>
            <w:r w:rsidRPr="420007D4">
              <w:rPr>
                <w:sz w:val="22"/>
                <w:szCs w:val="22"/>
              </w:rPr>
              <w:t>Operations</w:t>
            </w:r>
          </w:p>
        </w:tc>
        <w:tc>
          <w:tcPr>
            <w:tcW w:w="1380" w:type="dxa"/>
            <w:tcMar>
              <w:top w:w="40" w:type="dxa"/>
              <w:left w:w="40" w:type="dxa"/>
              <w:bottom w:w="40" w:type="dxa"/>
              <w:right w:w="40" w:type="dxa"/>
            </w:tcMar>
            <w:vAlign w:val="bottom"/>
          </w:tcPr>
          <w:p w14:paraId="0CFCA9F4" w14:textId="77777777" w:rsidR="00A21A68" w:rsidRDefault="03F9E0D9" w:rsidP="03F9E0D9">
            <w:pPr>
              <w:widowControl w:val="0"/>
              <w:rPr>
                <w:sz w:val="22"/>
                <w:szCs w:val="22"/>
              </w:rPr>
            </w:pPr>
            <w:r w:rsidRPr="03F9E0D9">
              <w:rPr>
                <w:sz w:val="22"/>
                <w:szCs w:val="22"/>
              </w:rPr>
              <w:t>18</w:t>
            </w:r>
          </w:p>
        </w:tc>
        <w:tc>
          <w:tcPr>
            <w:tcW w:w="2355" w:type="dxa"/>
            <w:tcMar>
              <w:top w:w="40" w:type="dxa"/>
              <w:left w:w="40" w:type="dxa"/>
              <w:bottom w:w="40" w:type="dxa"/>
              <w:right w:w="40" w:type="dxa"/>
            </w:tcMar>
            <w:vAlign w:val="bottom"/>
          </w:tcPr>
          <w:p w14:paraId="5410AD3D" w14:textId="77777777" w:rsidR="00A21A68" w:rsidRDefault="420007D4" w:rsidP="420007D4">
            <w:pPr>
              <w:widowControl w:val="0"/>
              <w:rPr>
                <w:sz w:val="22"/>
                <w:szCs w:val="22"/>
              </w:rPr>
            </w:pPr>
            <w:r w:rsidRPr="420007D4">
              <w:rPr>
                <w:sz w:val="22"/>
                <w:szCs w:val="22"/>
              </w:rPr>
              <w:t>13.04%</w:t>
            </w:r>
          </w:p>
        </w:tc>
      </w:tr>
      <w:tr w:rsidR="00A21A68" w14:paraId="0B56EDC9" w14:textId="77777777" w:rsidTr="03F9E0D9">
        <w:trPr>
          <w:trHeight w:val="300"/>
          <w:jc w:val="center"/>
        </w:trPr>
        <w:tc>
          <w:tcPr>
            <w:tcW w:w="4065" w:type="dxa"/>
            <w:tcMar>
              <w:top w:w="40" w:type="dxa"/>
              <w:left w:w="40" w:type="dxa"/>
              <w:bottom w:w="40" w:type="dxa"/>
              <w:right w:w="40" w:type="dxa"/>
            </w:tcMar>
          </w:tcPr>
          <w:p w14:paraId="18473B6B" w14:textId="77777777" w:rsidR="00A21A68" w:rsidRDefault="420007D4" w:rsidP="420007D4">
            <w:pPr>
              <w:widowControl w:val="0"/>
              <w:rPr>
                <w:sz w:val="22"/>
                <w:szCs w:val="22"/>
              </w:rPr>
            </w:pPr>
            <w:r w:rsidRPr="420007D4">
              <w:rPr>
                <w:sz w:val="22"/>
                <w:szCs w:val="22"/>
              </w:rPr>
              <w:t>Human Resources</w:t>
            </w:r>
          </w:p>
        </w:tc>
        <w:tc>
          <w:tcPr>
            <w:tcW w:w="1380" w:type="dxa"/>
            <w:tcMar>
              <w:top w:w="40" w:type="dxa"/>
              <w:left w:w="40" w:type="dxa"/>
              <w:bottom w:w="40" w:type="dxa"/>
              <w:right w:w="40" w:type="dxa"/>
            </w:tcMar>
            <w:vAlign w:val="bottom"/>
          </w:tcPr>
          <w:p w14:paraId="7FBF3456" w14:textId="77777777" w:rsidR="00A21A68" w:rsidRDefault="03F9E0D9" w:rsidP="03F9E0D9">
            <w:pPr>
              <w:widowControl w:val="0"/>
              <w:rPr>
                <w:sz w:val="22"/>
                <w:szCs w:val="22"/>
              </w:rPr>
            </w:pPr>
            <w:r w:rsidRPr="03F9E0D9">
              <w:rPr>
                <w:sz w:val="22"/>
                <w:szCs w:val="22"/>
              </w:rPr>
              <w:t>37</w:t>
            </w:r>
          </w:p>
        </w:tc>
        <w:tc>
          <w:tcPr>
            <w:tcW w:w="2355" w:type="dxa"/>
            <w:tcMar>
              <w:top w:w="40" w:type="dxa"/>
              <w:left w:w="40" w:type="dxa"/>
              <w:bottom w:w="40" w:type="dxa"/>
              <w:right w:w="40" w:type="dxa"/>
            </w:tcMar>
            <w:vAlign w:val="bottom"/>
          </w:tcPr>
          <w:p w14:paraId="6547B77C" w14:textId="77777777" w:rsidR="00A21A68" w:rsidRDefault="420007D4" w:rsidP="420007D4">
            <w:pPr>
              <w:widowControl w:val="0"/>
              <w:rPr>
                <w:sz w:val="22"/>
                <w:szCs w:val="22"/>
              </w:rPr>
            </w:pPr>
            <w:r w:rsidRPr="420007D4">
              <w:rPr>
                <w:sz w:val="22"/>
                <w:szCs w:val="22"/>
              </w:rPr>
              <w:t>26.81%</w:t>
            </w:r>
          </w:p>
        </w:tc>
      </w:tr>
      <w:tr w:rsidR="00A21A68" w14:paraId="28EF5536" w14:textId="77777777" w:rsidTr="03F9E0D9">
        <w:trPr>
          <w:trHeight w:val="300"/>
          <w:jc w:val="center"/>
        </w:trPr>
        <w:tc>
          <w:tcPr>
            <w:tcW w:w="4065" w:type="dxa"/>
            <w:tcMar>
              <w:top w:w="40" w:type="dxa"/>
              <w:left w:w="40" w:type="dxa"/>
              <w:bottom w:w="40" w:type="dxa"/>
              <w:right w:w="40" w:type="dxa"/>
            </w:tcMar>
          </w:tcPr>
          <w:p w14:paraId="20ECF46A" w14:textId="77777777" w:rsidR="00A21A68" w:rsidRDefault="420007D4" w:rsidP="420007D4">
            <w:pPr>
              <w:widowControl w:val="0"/>
              <w:rPr>
                <w:sz w:val="22"/>
                <w:szCs w:val="22"/>
              </w:rPr>
            </w:pPr>
            <w:r w:rsidRPr="420007D4">
              <w:rPr>
                <w:sz w:val="22"/>
                <w:szCs w:val="22"/>
              </w:rPr>
              <w:t>Sales</w:t>
            </w:r>
          </w:p>
        </w:tc>
        <w:tc>
          <w:tcPr>
            <w:tcW w:w="1380" w:type="dxa"/>
            <w:tcMar>
              <w:top w:w="40" w:type="dxa"/>
              <w:left w:w="40" w:type="dxa"/>
              <w:bottom w:w="40" w:type="dxa"/>
              <w:right w:w="40" w:type="dxa"/>
            </w:tcMar>
            <w:vAlign w:val="bottom"/>
          </w:tcPr>
          <w:p w14:paraId="3D69496B" w14:textId="77777777" w:rsidR="00A21A68" w:rsidRDefault="03F9E0D9" w:rsidP="03F9E0D9">
            <w:pPr>
              <w:widowControl w:val="0"/>
              <w:rPr>
                <w:sz w:val="22"/>
                <w:szCs w:val="22"/>
              </w:rPr>
            </w:pPr>
            <w:r w:rsidRPr="03F9E0D9">
              <w:rPr>
                <w:sz w:val="22"/>
                <w:szCs w:val="22"/>
              </w:rPr>
              <w:t>8</w:t>
            </w:r>
          </w:p>
        </w:tc>
        <w:tc>
          <w:tcPr>
            <w:tcW w:w="2355" w:type="dxa"/>
            <w:tcMar>
              <w:top w:w="40" w:type="dxa"/>
              <w:left w:w="40" w:type="dxa"/>
              <w:bottom w:w="40" w:type="dxa"/>
              <w:right w:w="40" w:type="dxa"/>
            </w:tcMar>
            <w:vAlign w:val="bottom"/>
          </w:tcPr>
          <w:p w14:paraId="0B326F95" w14:textId="77777777" w:rsidR="00A21A68" w:rsidRDefault="420007D4" w:rsidP="420007D4">
            <w:pPr>
              <w:widowControl w:val="0"/>
              <w:rPr>
                <w:sz w:val="22"/>
                <w:szCs w:val="22"/>
              </w:rPr>
            </w:pPr>
            <w:r w:rsidRPr="420007D4">
              <w:rPr>
                <w:sz w:val="22"/>
                <w:szCs w:val="22"/>
              </w:rPr>
              <w:t>5.8%</w:t>
            </w:r>
          </w:p>
        </w:tc>
      </w:tr>
      <w:tr w:rsidR="00A21A68" w14:paraId="24D51D24" w14:textId="77777777" w:rsidTr="03F9E0D9">
        <w:trPr>
          <w:trHeight w:val="300"/>
          <w:jc w:val="center"/>
        </w:trPr>
        <w:tc>
          <w:tcPr>
            <w:tcW w:w="4065" w:type="dxa"/>
            <w:tcMar>
              <w:top w:w="40" w:type="dxa"/>
              <w:left w:w="40" w:type="dxa"/>
              <w:bottom w:w="40" w:type="dxa"/>
              <w:right w:w="40" w:type="dxa"/>
            </w:tcMar>
          </w:tcPr>
          <w:p w14:paraId="00A4C74C" w14:textId="77777777" w:rsidR="00A21A68" w:rsidRDefault="420007D4" w:rsidP="420007D4">
            <w:pPr>
              <w:widowControl w:val="0"/>
              <w:rPr>
                <w:sz w:val="22"/>
                <w:szCs w:val="22"/>
              </w:rPr>
            </w:pPr>
            <w:r w:rsidRPr="420007D4">
              <w:rPr>
                <w:sz w:val="22"/>
                <w:szCs w:val="22"/>
              </w:rPr>
              <w:t>Finance</w:t>
            </w:r>
          </w:p>
        </w:tc>
        <w:tc>
          <w:tcPr>
            <w:tcW w:w="1380" w:type="dxa"/>
            <w:tcMar>
              <w:top w:w="40" w:type="dxa"/>
              <w:left w:w="40" w:type="dxa"/>
              <w:bottom w:w="40" w:type="dxa"/>
              <w:right w:w="40" w:type="dxa"/>
            </w:tcMar>
            <w:vAlign w:val="bottom"/>
          </w:tcPr>
          <w:p w14:paraId="4C7E5772" w14:textId="77777777" w:rsidR="00A21A68" w:rsidRDefault="03F9E0D9" w:rsidP="03F9E0D9">
            <w:pPr>
              <w:widowControl w:val="0"/>
              <w:rPr>
                <w:sz w:val="22"/>
                <w:szCs w:val="22"/>
              </w:rPr>
            </w:pPr>
            <w:r w:rsidRPr="03F9E0D9">
              <w:rPr>
                <w:sz w:val="22"/>
                <w:szCs w:val="22"/>
              </w:rPr>
              <w:t>6</w:t>
            </w:r>
          </w:p>
        </w:tc>
        <w:tc>
          <w:tcPr>
            <w:tcW w:w="2355" w:type="dxa"/>
            <w:tcMar>
              <w:top w:w="40" w:type="dxa"/>
              <w:left w:w="40" w:type="dxa"/>
              <w:bottom w:w="40" w:type="dxa"/>
              <w:right w:w="40" w:type="dxa"/>
            </w:tcMar>
            <w:vAlign w:val="bottom"/>
          </w:tcPr>
          <w:p w14:paraId="25ED8A08" w14:textId="77777777" w:rsidR="00A21A68" w:rsidRDefault="420007D4" w:rsidP="420007D4">
            <w:pPr>
              <w:widowControl w:val="0"/>
              <w:rPr>
                <w:sz w:val="22"/>
                <w:szCs w:val="22"/>
              </w:rPr>
            </w:pPr>
            <w:r w:rsidRPr="420007D4">
              <w:rPr>
                <w:sz w:val="22"/>
                <w:szCs w:val="22"/>
              </w:rPr>
              <w:t>4.35%</w:t>
            </w:r>
          </w:p>
        </w:tc>
      </w:tr>
      <w:tr w:rsidR="00A21A68" w14:paraId="01E89DEC" w14:textId="77777777" w:rsidTr="03F9E0D9">
        <w:trPr>
          <w:trHeight w:val="300"/>
          <w:jc w:val="center"/>
        </w:trPr>
        <w:tc>
          <w:tcPr>
            <w:tcW w:w="4065" w:type="dxa"/>
            <w:tcMar>
              <w:top w:w="40" w:type="dxa"/>
              <w:left w:w="40" w:type="dxa"/>
              <w:bottom w:w="40" w:type="dxa"/>
              <w:right w:w="40" w:type="dxa"/>
            </w:tcMar>
          </w:tcPr>
          <w:p w14:paraId="1ECBA574" w14:textId="77777777" w:rsidR="00A21A68" w:rsidRDefault="420007D4" w:rsidP="420007D4">
            <w:pPr>
              <w:widowControl w:val="0"/>
              <w:rPr>
                <w:sz w:val="22"/>
                <w:szCs w:val="22"/>
              </w:rPr>
            </w:pPr>
            <w:r w:rsidRPr="420007D4">
              <w:rPr>
                <w:sz w:val="22"/>
                <w:szCs w:val="22"/>
              </w:rPr>
              <w:t>Legal</w:t>
            </w:r>
          </w:p>
        </w:tc>
        <w:tc>
          <w:tcPr>
            <w:tcW w:w="1380" w:type="dxa"/>
            <w:tcMar>
              <w:top w:w="40" w:type="dxa"/>
              <w:left w:w="40" w:type="dxa"/>
              <w:bottom w:w="40" w:type="dxa"/>
              <w:right w:w="40" w:type="dxa"/>
            </w:tcMar>
            <w:vAlign w:val="bottom"/>
          </w:tcPr>
          <w:p w14:paraId="05970F89" w14:textId="77777777" w:rsidR="00A21A68" w:rsidRDefault="03F9E0D9" w:rsidP="03F9E0D9">
            <w:pPr>
              <w:widowControl w:val="0"/>
              <w:rPr>
                <w:sz w:val="22"/>
                <w:szCs w:val="22"/>
              </w:rPr>
            </w:pPr>
            <w:r w:rsidRPr="03F9E0D9">
              <w:rPr>
                <w:sz w:val="22"/>
                <w:szCs w:val="22"/>
              </w:rPr>
              <w:t>0</w:t>
            </w:r>
          </w:p>
        </w:tc>
        <w:tc>
          <w:tcPr>
            <w:tcW w:w="2355" w:type="dxa"/>
            <w:tcMar>
              <w:top w:w="40" w:type="dxa"/>
              <w:left w:w="40" w:type="dxa"/>
              <w:bottom w:w="40" w:type="dxa"/>
              <w:right w:w="40" w:type="dxa"/>
            </w:tcMar>
            <w:vAlign w:val="bottom"/>
          </w:tcPr>
          <w:p w14:paraId="0F3BBDAF" w14:textId="77777777" w:rsidR="00A21A68" w:rsidRDefault="420007D4" w:rsidP="420007D4">
            <w:pPr>
              <w:widowControl w:val="0"/>
              <w:rPr>
                <w:sz w:val="22"/>
                <w:szCs w:val="22"/>
              </w:rPr>
            </w:pPr>
            <w:r w:rsidRPr="420007D4">
              <w:rPr>
                <w:sz w:val="22"/>
                <w:szCs w:val="22"/>
              </w:rPr>
              <w:t>0%</w:t>
            </w:r>
          </w:p>
        </w:tc>
      </w:tr>
      <w:tr w:rsidR="00A21A68" w14:paraId="7F20D859" w14:textId="77777777" w:rsidTr="03F9E0D9">
        <w:trPr>
          <w:trHeight w:val="300"/>
          <w:jc w:val="center"/>
        </w:trPr>
        <w:tc>
          <w:tcPr>
            <w:tcW w:w="4065" w:type="dxa"/>
            <w:tcMar>
              <w:top w:w="40" w:type="dxa"/>
              <w:left w:w="40" w:type="dxa"/>
              <w:bottom w:w="40" w:type="dxa"/>
              <w:right w:w="40" w:type="dxa"/>
            </w:tcMar>
          </w:tcPr>
          <w:p w14:paraId="53FF14D0" w14:textId="77777777" w:rsidR="00A21A68" w:rsidRDefault="420007D4" w:rsidP="420007D4">
            <w:pPr>
              <w:widowControl w:val="0"/>
              <w:rPr>
                <w:sz w:val="22"/>
                <w:szCs w:val="22"/>
              </w:rPr>
            </w:pPr>
            <w:r w:rsidRPr="420007D4">
              <w:rPr>
                <w:sz w:val="22"/>
                <w:szCs w:val="22"/>
              </w:rPr>
              <w:t>IT</w:t>
            </w:r>
          </w:p>
        </w:tc>
        <w:tc>
          <w:tcPr>
            <w:tcW w:w="1380" w:type="dxa"/>
            <w:tcMar>
              <w:top w:w="40" w:type="dxa"/>
              <w:left w:w="40" w:type="dxa"/>
              <w:bottom w:w="40" w:type="dxa"/>
              <w:right w:w="40" w:type="dxa"/>
            </w:tcMar>
            <w:vAlign w:val="bottom"/>
          </w:tcPr>
          <w:p w14:paraId="7BCE6499" w14:textId="77777777" w:rsidR="00A21A68" w:rsidRDefault="03F9E0D9" w:rsidP="03F9E0D9">
            <w:pPr>
              <w:widowControl w:val="0"/>
              <w:rPr>
                <w:sz w:val="22"/>
                <w:szCs w:val="22"/>
              </w:rPr>
            </w:pPr>
            <w:r w:rsidRPr="03F9E0D9">
              <w:rPr>
                <w:sz w:val="22"/>
                <w:szCs w:val="22"/>
              </w:rPr>
              <w:t>4</w:t>
            </w:r>
          </w:p>
        </w:tc>
        <w:tc>
          <w:tcPr>
            <w:tcW w:w="2355" w:type="dxa"/>
            <w:tcMar>
              <w:top w:w="40" w:type="dxa"/>
              <w:left w:w="40" w:type="dxa"/>
              <w:bottom w:w="40" w:type="dxa"/>
              <w:right w:w="40" w:type="dxa"/>
            </w:tcMar>
            <w:vAlign w:val="bottom"/>
          </w:tcPr>
          <w:p w14:paraId="37F64E26" w14:textId="77777777" w:rsidR="00A21A68" w:rsidRDefault="420007D4" w:rsidP="420007D4">
            <w:pPr>
              <w:widowControl w:val="0"/>
              <w:rPr>
                <w:sz w:val="22"/>
                <w:szCs w:val="22"/>
              </w:rPr>
            </w:pPr>
            <w:r w:rsidRPr="420007D4">
              <w:rPr>
                <w:sz w:val="22"/>
                <w:szCs w:val="22"/>
              </w:rPr>
              <w:t>2.9%</w:t>
            </w:r>
          </w:p>
        </w:tc>
      </w:tr>
      <w:tr w:rsidR="00A21A68" w14:paraId="4ABA6B6E" w14:textId="77777777" w:rsidTr="03F9E0D9">
        <w:trPr>
          <w:trHeight w:val="300"/>
          <w:jc w:val="center"/>
        </w:trPr>
        <w:tc>
          <w:tcPr>
            <w:tcW w:w="4065" w:type="dxa"/>
            <w:tcMar>
              <w:top w:w="40" w:type="dxa"/>
              <w:left w:w="40" w:type="dxa"/>
              <w:bottom w:w="40" w:type="dxa"/>
              <w:right w:w="40" w:type="dxa"/>
            </w:tcMar>
          </w:tcPr>
          <w:p w14:paraId="2A18D8A7" w14:textId="77777777" w:rsidR="00A21A68" w:rsidRDefault="420007D4" w:rsidP="420007D4">
            <w:pPr>
              <w:widowControl w:val="0"/>
              <w:rPr>
                <w:sz w:val="22"/>
                <w:szCs w:val="22"/>
              </w:rPr>
            </w:pPr>
            <w:r w:rsidRPr="420007D4">
              <w:rPr>
                <w:sz w:val="22"/>
                <w:szCs w:val="22"/>
              </w:rPr>
              <w:t>Engineering</w:t>
            </w:r>
          </w:p>
        </w:tc>
        <w:tc>
          <w:tcPr>
            <w:tcW w:w="1380" w:type="dxa"/>
            <w:tcMar>
              <w:top w:w="40" w:type="dxa"/>
              <w:left w:w="40" w:type="dxa"/>
              <w:bottom w:w="40" w:type="dxa"/>
              <w:right w:w="40" w:type="dxa"/>
            </w:tcMar>
            <w:vAlign w:val="bottom"/>
          </w:tcPr>
          <w:p w14:paraId="163C3E23" w14:textId="77777777" w:rsidR="00A21A68" w:rsidRDefault="03F9E0D9" w:rsidP="03F9E0D9">
            <w:pPr>
              <w:widowControl w:val="0"/>
              <w:rPr>
                <w:sz w:val="22"/>
                <w:szCs w:val="22"/>
              </w:rPr>
            </w:pPr>
            <w:r w:rsidRPr="03F9E0D9">
              <w:rPr>
                <w:sz w:val="22"/>
                <w:szCs w:val="22"/>
              </w:rPr>
              <w:t>0</w:t>
            </w:r>
          </w:p>
        </w:tc>
        <w:tc>
          <w:tcPr>
            <w:tcW w:w="2355" w:type="dxa"/>
            <w:tcMar>
              <w:top w:w="40" w:type="dxa"/>
              <w:left w:w="40" w:type="dxa"/>
              <w:bottom w:w="40" w:type="dxa"/>
              <w:right w:w="40" w:type="dxa"/>
            </w:tcMar>
            <w:vAlign w:val="bottom"/>
          </w:tcPr>
          <w:p w14:paraId="2028726C" w14:textId="77777777" w:rsidR="00A21A68" w:rsidRDefault="420007D4" w:rsidP="420007D4">
            <w:pPr>
              <w:widowControl w:val="0"/>
              <w:rPr>
                <w:sz w:val="22"/>
                <w:szCs w:val="22"/>
              </w:rPr>
            </w:pPr>
            <w:r w:rsidRPr="420007D4">
              <w:rPr>
                <w:sz w:val="22"/>
                <w:szCs w:val="22"/>
              </w:rPr>
              <w:t>0%</w:t>
            </w:r>
          </w:p>
        </w:tc>
      </w:tr>
      <w:tr w:rsidR="00A21A68" w14:paraId="36A5F685" w14:textId="77777777" w:rsidTr="03F9E0D9">
        <w:trPr>
          <w:trHeight w:val="300"/>
          <w:jc w:val="center"/>
        </w:trPr>
        <w:tc>
          <w:tcPr>
            <w:tcW w:w="4065" w:type="dxa"/>
            <w:tcMar>
              <w:top w:w="40" w:type="dxa"/>
              <w:left w:w="40" w:type="dxa"/>
              <w:bottom w:w="40" w:type="dxa"/>
              <w:right w:w="40" w:type="dxa"/>
            </w:tcMar>
          </w:tcPr>
          <w:p w14:paraId="6CB83EC3" w14:textId="77777777" w:rsidR="00A21A68" w:rsidRDefault="420007D4" w:rsidP="420007D4">
            <w:pPr>
              <w:widowControl w:val="0"/>
              <w:rPr>
                <w:sz w:val="22"/>
                <w:szCs w:val="22"/>
              </w:rPr>
            </w:pPr>
            <w:r w:rsidRPr="420007D4">
              <w:rPr>
                <w:sz w:val="22"/>
                <w:szCs w:val="22"/>
              </w:rPr>
              <w:t>Product</w:t>
            </w:r>
          </w:p>
        </w:tc>
        <w:tc>
          <w:tcPr>
            <w:tcW w:w="1380" w:type="dxa"/>
            <w:tcMar>
              <w:top w:w="40" w:type="dxa"/>
              <w:left w:w="40" w:type="dxa"/>
              <w:bottom w:w="40" w:type="dxa"/>
              <w:right w:w="40" w:type="dxa"/>
            </w:tcMar>
            <w:vAlign w:val="bottom"/>
          </w:tcPr>
          <w:p w14:paraId="734CBCF1" w14:textId="77777777" w:rsidR="00A21A68" w:rsidRDefault="03F9E0D9" w:rsidP="03F9E0D9">
            <w:pPr>
              <w:widowControl w:val="0"/>
              <w:rPr>
                <w:sz w:val="22"/>
                <w:szCs w:val="22"/>
              </w:rPr>
            </w:pPr>
            <w:r w:rsidRPr="03F9E0D9">
              <w:rPr>
                <w:sz w:val="22"/>
                <w:szCs w:val="22"/>
              </w:rPr>
              <w:t>1</w:t>
            </w:r>
          </w:p>
        </w:tc>
        <w:tc>
          <w:tcPr>
            <w:tcW w:w="2355" w:type="dxa"/>
            <w:tcMar>
              <w:top w:w="40" w:type="dxa"/>
              <w:left w:w="40" w:type="dxa"/>
              <w:bottom w:w="40" w:type="dxa"/>
              <w:right w:w="40" w:type="dxa"/>
            </w:tcMar>
            <w:vAlign w:val="bottom"/>
          </w:tcPr>
          <w:p w14:paraId="61F95E5D" w14:textId="77777777" w:rsidR="00A21A68" w:rsidRDefault="420007D4" w:rsidP="420007D4">
            <w:pPr>
              <w:widowControl w:val="0"/>
              <w:rPr>
                <w:sz w:val="22"/>
                <w:szCs w:val="22"/>
              </w:rPr>
            </w:pPr>
            <w:r w:rsidRPr="420007D4">
              <w:rPr>
                <w:sz w:val="22"/>
                <w:szCs w:val="22"/>
              </w:rPr>
              <w:t>0.72%</w:t>
            </w:r>
          </w:p>
        </w:tc>
      </w:tr>
      <w:tr w:rsidR="00A21A68" w14:paraId="2703B646" w14:textId="77777777" w:rsidTr="03F9E0D9">
        <w:trPr>
          <w:trHeight w:val="340"/>
          <w:jc w:val="center"/>
        </w:trPr>
        <w:tc>
          <w:tcPr>
            <w:tcW w:w="4065" w:type="dxa"/>
            <w:tcMar>
              <w:top w:w="40" w:type="dxa"/>
              <w:left w:w="40" w:type="dxa"/>
              <w:bottom w:w="40" w:type="dxa"/>
              <w:right w:w="40" w:type="dxa"/>
            </w:tcMar>
          </w:tcPr>
          <w:p w14:paraId="17EF12E7" w14:textId="77777777" w:rsidR="00A21A68" w:rsidRDefault="420007D4" w:rsidP="420007D4">
            <w:pPr>
              <w:widowControl w:val="0"/>
              <w:rPr>
                <w:sz w:val="22"/>
                <w:szCs w:val="22"/>
              </w:rPr>
            </w:pPr>
            <w:r w:rsidRPr="420007D4">
              <w:rPr>
                <w:sz w:val="22"/>
                <w:szCs w:val="22"/>
              </w:rPr>
              <w:t>Research and Development</w:t>
            </w:r>
          </w:p>
        </w:tc>
        <w:tc>
          <w:tcPr>
            <w:tcW w:w="1380" w:type="dxa"/>
            <w:tcMar>
              <w:top w:w="40" w:type="dxa"/>
              <w:left w:w="40" w:type="dxa"/>
              <w:bottom w:w="40" w:type="dxa"/>
              <w:right w:w="40" w:type="dxa"/>
            </w:tcMar>
            <w:vAlign w:val="bottom"/>
          </w:tcPr>
          <w:p w14:paraId="49B4DF71" w14:textId="77777777" w:rsidR="00A21A68" w:rsidRDefault="03F9E0D9" w:rsidP="03F9E0D9">
            <w:pPr>
              <w:widowControl w:val="0"/>
              <w:rPr>
                <w:sz w:val="22"/>
                <w:szCs w:val="22"/>
              </w:rPr>
            </w:pPr>
            <w:r w:rsidRPr="03F9E0D9">
              <w:rPr>
                <w:sz w:val="22"/>
                <w:szCs w:val="22"/>
              </w:rPr>
              <w:t>0</w:t>
            </w:r>
          </w:p>
        </w:tc>
        <w:tc>
          <w:tcPr>
            <w:tcW w:w="2355" w:type="dxa"/>
            <w:tcMar>
              <w:top w:w="40" w:type="dxa"/>
              <w:left w:w="40" w:type="dxa"/>
              <w:bottom w:w="40" w:type="dxa"/>
              <w:right w:w="40" w:type="dxa"/>
            </w:tcMar>
            <w:vAlign w:val="bottom"/>
          </w:tcPr>
          <w:p w14:paraId="3AECBC61" w14:textId="77777777" w:rsidR="00A21A68" w:rsidRDefault="420007D4" w:rsidP="420007D4">
            <w:pPr>
              <w:widowControl w:val="0"/>
              <w:rPr>
                <w:sz w:val="22"/>
                <w:szCs w:val="22"/>
              </w:rPr>
            </w:pPr>
            <w:r w:rsidRPr="420007D4">
              <w:rPr>
                <w:sz w:val="22"/>
                <w:szCs w:val="22"/>
              </w:rPr>
              <w:t>0%</w:t>
            </w:r>
          </w:p>
        </w:tc>
      </w:tr>
      <w:tr w:rsidR="00A21A68" w14:paraId="3E980D73" w14:textId="77777777" w:rsidTr="03F9E0D9">
        <w:trPr>
          <w:trHeight w:val="300"/>
          <w:jc w:val="center"/>
        </w:trPr>
        <w:tc>
          <w:tcPr>
            <w:tcW w:w="4065" w:type="dxa"/>
            <w:tcMar>
              <w:top w:w="40" w:type="dxa"/>
              <w:left w:w="40" w:type="dxa"/>
              <w:bottom w:w="40" w:type="dxa"/>
              <w:right w:w="40" w:type="dxa"/>
            </w:tcMar>
          </w:tcPr>
          <w:p w14:paraId="54745785" w14:textId="77777777" w:rsidR="00A21A68" w:rsidRDefault="420007D4" w:rsidP="420007D4">
            <w:pPr>
              <w:widowControl w:val="0"/>
              <w:rPr>
                <w:sz w:val="22"/>
                <w:szCs w:val="22"/>
              </w:rPr>
            </w:pPr>
            <w:r w:rsidRPr="420007D4">
              <w:rPr>
                <w:sz w:val="22"/>
                <w:szCs w:val="22"/>
              </w:rPr>
              <w:t>International</w:t>
            </w:r>
          </w:p>
        </w:tc>
        <w:tc>
          <w:tcPr>
            <w:tcW w:w="1380" w:type="dxa"/>
            <w:tcMar>
              <w:top w:w="40" w:type="dxa"/>
              <w:left w:w="40" w:type="dxa"/>
              <w:bottom w:w="40" w:type="dxa"/>
              <w:right w:w="40" w:type="dxa"/>
            </w:tcMar>
            <w:vAlign w:val="bottom"/>
          </w:tcPr>
          <w:p w14:paraId="0E4E7D15" w14:textId="77777777" w:rsidR="00A21A68" w:rsidRDefault="03F9E0D9" w:rsidP="03F9E0D9">
            <w:pPr>
              <w:widowControl w:val="0"/>
              <w:rPr>
                <w:sz w:val="22"/>
                <w:szCs w:val="22"/>
              </w:rPr>
            </w:pPr>
            <w:r w:rsidRPr="03F9E0D9">
              <w:rPr>
                <w:sz w:val="22"/>
                <w:szCs w:val="22"/>
              </w:rPr>
              <w:t>0</w:t>
            </w:r>
          </w:p>
        </w:tc>
        <w:tc>
          <w:tcPr>
            <w:tcW w:w="2355" w:type="dxa"/>
            <w:tcMar>
              <w:top w:w="40" w:type="dxa"/>
              <w:left w:w="40" w:type="dxa"/>
              <w:bottom w:w="40" w:type="dxa"/>
              <w:right w:w="40" w:type="dxa"/>
            </w:tcMar>
            <w:vAlign w:val="bottom"/>
          </w:tcPr>
          <w:p w14:paraId="74215A74" w14:textId="77777777" w:rsidR="00A21A68" w:rsidRDefault="420007D4" w:rsidP="420007D4">
            <w:pPr>
              <w:widowControl w:val="0"/>
              <w:rPr>
                <w:sz w:val="22"/>
                <w:szCs w:val="22"/>
              </w:rPr>
            </w:pPr>
            <w:r w:rsidRPr="420007D4">
              <w:rPr>
                <w:sz w:val="22"/>
                <w:szCs w:val="22"/>
              </w:rPr>
              <w:t>0%</w:t>
            </w:r>
          </w:p>
        </w:tc>
      </w:tr>
      <w:tr w:rsidR="00A21A68" w14:paraId="032B3CCD" w14:textId="77777777" w:rsidTr="03F9E0D9">
        <w:trPr>
          <w:trHeight w:val="320"/>
          <w:jc w:val="center"/>
        </w:trPr>
        <w:tc>
          <w:tcPr>
            <w:tcW w:w="4065" w:type="dxa"/>
            <w:tcMar>
              <w:top w:w="40" w:type="dxa"/>
              <w:left w:w="40" w:type="dxa"/>
              <w:bottom w:w="40" w:type="dxa"/>
              <w:right w:w="40" w:type="dxa"/>
            </w:tcMar>
          </w:tcPr>
          <w:p w14:paraId="6A48D19C" w14:textId="77777777" w:rsidR="00A21A68" w:rsidRDefault="420007D4" w:rsidP="420007D4">
            <w:pPr>
              <w:widowControl w:val="0"/>
              <w:rPr>
                <w:sz w:val="22"/>
                <w:szCs w:val="22"/>
              </w:rPr>
            </w:pPr>
            <w:r w:rsidRPr="420007D4">
              <w:rPr>
                <w:sz w:val="22"/>
                <w:szCs w:val="22"/>
              </w:rPr>
              <w:t>Business Intelligence</w:t>
            </w:r>
          </w:p>
        </w:tc>
        <w:tc>
          <w:tcPr>
            <w:tcW w:w="1380" w:type="dxa"/>
            <w:tcMar>
              <w:top w:w="40" w:type="dxa"/>
              <w:left w:w="40" w:type="dxa"/>
              <w:bottom w:w="40" w:type="dxa"/>
              <w:right w:w="40" w:type="dxa"/>
            </w:tcMar>
            <w:vAlign w:val="bottom"/>
          </w:tcPr>
          <w:p w14:paraId="069E4FE7" w14:textId="77777777" w:rsidR="00A21A68" w:rsidRDefault="03F9E0D9" w:rsidP="03F9E0D9">
            <w:pPr>
              <w:widowControl w:val="0"/>
              <w:rPr>
                <w:sz w:val="22"/>
                <w:szCs w:val="22"/>
              </w:rPr>
            </w:pPr>
            <w:r w:rsidRPr="03F9E0D9">
              <w:rPr>
                <w:sz w:val="22"/>
                <w:szCs w:val="22"/>
              </w:rPr>
              <w:t>1</w:t>
            </w:r>
          </w:p>
        </w:tc>
        <w:tc>
          <w:tcPr>
            <w:tcW w:w="2355" w:type="dxa"/>
            <w:tcMar>
              <w:top w:w="40" w:type="dxa"/>
              <w:left w:w="40" w:type="dxa"/>
              <w:bottom w:w="40" w:type="dxa"/>
              <w:right w:w="40" w:type="dxa"/>
            </w:tcMar>
            <w:vAlign w:val="bottom"/>
          </w:tcPr>
          <w:p w14:paraId="026BF88F" w14:textId="77777777" w:rsidR="00A21A68" w:rsidRDefault="420007D4" w:rsidP="420007D4">
            <w:pPr>
              <w:widowControl w:val="0"/>
              <w:rPr>
                <w:sz w:val="22"/>
                <w:szCs w:val="22"/>
              </w:rPr>
            </w:pPr>
            <w:r w:rsidRPr="420007D4">
              <w:rPr>
                <w:sz w:val="22"/>
                <w:szCs w:val="22"/>
              </w:rPr>
              <w:t>0.72%</w:t>
            </w:r>
          </w:p>
        </w:tc>
      </w:tr>
      <w:tr w:rsidR="00A21A68" w14:paraId="18AAF322" w14:textId="77777777" w:rsidTr="03F9E0D9">
        <w:trPr>
          <w:trHeight w:val="300"/>
          <w:jc w:val="center"/>
        </w:trPr>
        <w:tc>
          <w:tcPr>
            <w:tcW w:w="4065" w:type="dxa"/>
            <w:tcMar>
              <w:top w:w="40" w:type="dxa"/>
              <w:left w:w="40" w:type="dxa"/>
              <w:bottom w:w="40" w:type="dxa"/>
              <w:right w:w="40" w:type="dxa"/>
            </w:tcMar>
          </w:tcPr>
          <w:p w14:paraId="2CC83674" w14:textId="77777777" w:rsidR="00A21A68" w:rsidRDefault="420007D4" w:rsidP="420007D4">
            <w:pPr>
              <w:widowControl w:val="0"/>
              <w:rPr>
                <w:sz w:val="22"/>
                <w:szCs w:val="22"/>
              </w:rPr>
            </w:pPr>
            <w:r w:rsidRPr="420007D4">
              <w:rPr>
                <w:sz w:val="22"/>
                <w:szCs w:val="22"/>
              </w:rPr>
              <w:t>Manufacturing</w:t>
            </w:r>
          </w:p>
        </w:tc>
        <w:tc>
          <w:tcPr>
            <w:tcW w:w="1380" w:type="dxa"/>
            <w:tcMar>
              <w:top w:w="40" w:type="dxa"/>
              <w:left w:w="40" w:type="dxa"/>
              <w:bottom w:w="40" w:type="dxa"/>
              <w:right w:w="40" w:type="dxa"/>
            </w:tcMar>
            <w:vAlign w:val="bottom"/>
          </w:tcPr>
          <w:p w14:paraId="17DDD089" w14:textId="77777777" w:rsidR="00A21A68" w:rsidRDefault="03F9E0D9" w:rsidP="03F9E0D9">
            <w:pPr>
              <w:widowControl w:val="0"/>
              <w:rPr>
                <w:sz w:val="22"/>
                <w:szCs w:val="22"/>
              </w:rPr>
            </w:pPr>
            <w:r w:rsidRPr="03F9E0D9">
              <w:rPr>
                <w:sz w:val="22"/>
                <w:szCs w:val="22"/>
              </w:rPr>
              <w:t>0</w:t>
            </w:r>
          </w:p>
        </w:tc>
        <w:tc>
          <w:tcPr>
            <w:tcW w:w="2355" w:type="dxa"/>
            <w:tcMar>
              <w:top w:w="40" w:type="dxa"/>
              <w:left w:w="40" w:type="dxa"/>
              <w:bottom w:w="40" w:type="dxa"/>
              <w:right w:w="40" w:type="dxa"/>
            </w:tcMar>
            <w:vAlign w:val="bottom"/>
          </w:tcPr>
          <w:p w14:paraId="3395E625" w14:textId="77777777" w:rsidR="00A21A68" w:rsidRDefault="420007D4" w:rsidP="420007D4">
            <w:pPr>
              <w:widowControl w:val="0"/>
              <w:rPr>
                <w:sz w:val="22"/>
                <w:szCs w:val="22"/>
              </w:rPr>
            </w:pPr>
            <w:r w:rsidRPr="420007D4">
              <w:rPr>
                <w:sz w:val="22"/>
                <w:szCs w:val="22"/>
              </w:rPr>
              <w:t>0%</w:t>
            </w:r>
          </w:p>
        </w:tc>
      </w:tr>
      <w:tr w:rsidR="00A21A68" w14:paraId="4B8815B0" w14:textId="77777777" w:rsidTr="03F9E0D9">
        <w:trPr>
          <w:trHeight w:val="300"/>
          <w:jc w:val="center"/>
        </w:trPr>
        <w:tc>
          <w:tcPr>
            <w:tcW w:w="4065" w:type="dxa"/>
            <w:tcMar>
              <w:top w:w="40" w:type="dxa"/>
              <w:left w:w="40" w:type="dxa"/>
              <w:bottom w:w="40" w:type="dxa"/>
              <w:right w:w="40" w:type="dxa"/>
            </w:tcMar>
          </w:tcPr>
          <w:p w14:paraId="713E2316" w14:textId="77777777" w:rsidR="00A21A68" w:rsidRDefault="420007D4" w:rsidP="420007D4">
            <w:pPr>
              <w:widowControl w:val="0"/>
              <w:rPr>
                <w:sz w:val="22"/>
                <w:szCs w:val="22"/>
              </w:rPr>
            </w:pPr>
            <w:r w:rsidRPr="420007D4">
              <w:rPr>
                <w:sz w:val="22"/>
                <w:szCs w:val="22"/>
              </w:rPr>
              <w:t>Public Relations</w:t>
            </w:r>
          </w:p>
        </w:tc>
        <w:tc>
          <w:tcPr>
            <w:tcW w:w="1380" w:type="dxa"/>
            <w:tcMar>
              <w:top w:w="40" w:type="dxa"/>
              <w:left w:w="40" w:type="dxa"/>
              <w:bottom w:w="40" w:type="dxa"/>
              <w:right w:w="40" w:type="dxa"/>
            </w:tcMar>
            <w:vAlign w:val="bottom"/>
          </w:tcPr>
          <w:p w14:paraId="77D4E49F" w14:textId="77777777" w:rsidR="00A21A68" w:rsidRDefault="03F9E0D9" w:rsidP="03F9E0D9">
            <w:pPr>
              <w:widowControl w:val="0"/>
              <w:rPr>
                <w:sz w:val="22"/>
                <w:szCs w:val="22"/>
              </w:rPr>
            </w:pPr>
            <w:r w:rsidRPr="03F9E0D9">
              <w:rPr>
                <w:sz w:val="22"/>
                <w:szCs w:val="22"/>
              </w:rPr>
              <w:t>2</w:t>
            </w:r>
          </w:p>
        </w:tc>
        <w:tc>
          <w:tcPr>
            <w:tcW w:w="2355" w:type="dxa"/>
            <w:tcMar>
              <w:top w:w="40" w:type="dxa"/>
              <w:left w:w="40" w:type="dxa"/>
              <w:bottom w:w="40" w:type="dxa"/>
              <w:right w:w="40" w:type="dxa"/>
            </w:tcMar>
            <w:vAlign w:val="bottom"/>
          </w:tcPr>
          <w:p w14:paraId="3D539BAD" w14:textId="77777777" w:rsidR="00A21A68" w:rsidRDefault="420007D4" w:rsidP="420007D4">
            <w:pPr>
              <w:widowControl w:val="0"/>
              <w:rPr>
                <w:sz w:val="22"/>
                <w:szCs w:val="22"/>
              </w:rPr>
            </w:pPr>
            <w:r w:rsidRPr="420007D4">
              <w:rPr>
                <w:sz w:val="22"/>
                <w:szCs w:val="22"/>
              </w:rPr>
              <w:t>1.45%</w:t>
            </w:r>
          </w:p>
        </w:tc>
      </w:tr>
      <w:tr w:rsidR="00A21A68" w14:paraId="1927D363" w14:textId="77777777" w:rsidTr="03F9E0D9">
        <w:trPr>
          <w:trHeight w:val="300"/>
          <w:jc w:val="center"/>
        </w:trPr>
        <w:tc>
          <w:tcPr>
            <w:tcW w:w="4065" w:type="dxa"/>
            <w:tcMar>
              <w:top w:w="40" w:type="dxa"/>
              <w:left w:w="40" w:type="dxa"/>
              <w:bottom w:w="40" w:type="dxa"/>
              <w:right w:w="40" w:type="dxa"/>
            </w:tcMar>
          </w:tcPr>
          <w:p w14:paraId="3EB4D29C" w14:textId="77777777" w:rsidR="00A21A68" w:rsidRDefault="420007D4" w:rsidP="420007D4">
            <w:pPr>
              <w:widowControl w:val="0"/>
              <w:rPr>
                <w:sz w:val="22"/>
                <w:szCs w:val="22"/>
              </w:rPr>
            </w:pPr>
            <w:r w:rsidRPr="420007D4">
              <w:rPr>
                <w:sz w:val="22"/>
                <w:szCs w:val="22"/>
              </w:rPr>
              <w:t>Other</w:t>
            </w:r>
          </w:p>
        </w:tc>
        <w:tc>
          <w:tcPr>
            <w:tcW w:w="1380" w:type="dxa"/>
            <w:tcMar>
              <w:top w:w="40" w:type="dxa"/>
              <w:left w:w="40" w:type="dxa"/>
              <w:bottom w:w="40" w:type="dxa"/>
              <w:right w:w="40" w:type="dxa"/>
            </w:tcMar>
            <w:vAlign w:val="bottom"/>
          </w:tcPr>
          <w:p w14:paraId="3A008410" w14:textId="77777777" w:rsidR="00A21A68" w:rsidRDefault="03F9E0D9" w:rsidP="03F9E0D9">
            <w:pPr>
              <w:widowControl w:val="0"/>
              <w:rPr>
                <w:sz w:val="22"/>
                <w:szCs w:val="22"/>
              </w:rPr>
            </w:pPr>
            <w:r w:rsidRPr="03F9E0D9">
              <w:rPr>
                <w:sz w:val="22"/>
                <w:szCs w:val="22"/>
              </w:rPr>
              <w:t>20</w:t>
            </w:r>
          </w:p>
        </w:tc>
        <w:tc>
          <w:tcPr>
            <w:tcW w:w="2355" w:type="dxa"/>
            <w:tcMar>
              <w:top w:w="40" w:type="dxa"/>
              <w:left w:w="40" w:type="dxa"/>
              <w:bottom w:w="40" w:type="dxa"/>
              <w:right w:w="40" w:type="dxa"/>
            </w:tcMar>
            <w:vAlign w:val="bottom"/>
          </w:tcPr>
          <w:p w14:paraId="40D7280A" w14:textId="77777777" w:rsidR="00A21A68" w:rsidRDefault="420007D4" w:rsidP="420007D4">
            <w:pPr>
              <w:widowControl w:val="0"/>
              <w:rPr>
                <w:sz w:val="22"/>
                <w:szCs w:val="22"/>
              </w:rPr>
            </w:pPr>
            <w:r w:rsidRPr="420007D4">
              <w:rPr>
                <w:sz w:val="22"/>
                <w:szCs w:val="22"/>
              </w:rPr>
              <w:t>14.49%</w:t>
            </w:r>
          </w:p>
        </w:tc>
      </w:tr>
    </w:tbl>
    <w:p w14:paraId="27E548F2" w14:textId="77777777" w:rsidR="6F2E715C" w:rsidRDefault="6F2E715C" w:rsidP="6F2E715C">
      <w:pPr>
        <w:spacing w:after="0"/>
        <w:rPr>
          <w:b/>
          <w:bCs/>
          <w:color w:val="000000" w:themeColor="text1"/>
          <w:sz w:val="22"/>
          <w:szCs w:val="22"/>
        </w:rPr>
      </w:pPr>
    </w:p>
    <w:p w14:paraId="222C266F" w14:textId="77777777" w:rsidR="00A21A68" w:rsidRDefault="420007D4" w:rsidP="420007D4">
      <w:pPr>
        <w:pBdr>
          <w:top w:val="nil"/>
          <w:left w:val="nil"/>
          <w:bottom w:val="nil"/>
          <w:right w:val="nil"/>
          <w:between w:val="nil"/>
        </w:pBdr>
        <w:spacing w:after="0"/>
        <w:rPr>
          <w:b/>
          <w:bCs/>
          <w:color w:val="000000" w:themeColor="text1"/>
          <w:sz w:val="22"/>
          <w:szCs w:val="22"/>
        </w:rPr>
      </w:pPr>
      <w:r w:rsidRPr="420007D4">
        <w:rPr>
          <w:b/>
          <w:bCs/>
          <w:color w:val="000000" w:themeColor="text1"/>
          <w:sz w:val="22"/>
          <w:szCs w:val="22"/>
        </w:rPr>
        <w:t>FINDINGS</w:t>
      </w:r>
    </w:p>
    <w:p w14:paraId="12CB44D9" w14:textId="77777777" w:rsidR="6F2E715C" w:rsidRDefault="6F2E715C" w:rsidP="6F2E715C">
      <w:pPr>
        <w:spacing w:after="0"/>
        <w:rPr>
          <w:b/>
          <w:bCs/>
          <w:color w:val="000000" w:themeColor="text1"/>
          <w:sz w:val="22"/>
          <w:szCs w:val="22"/>
        </w:rPr>
      </w:pPr>
    </w:p>
    <w:p w14:paraId="1B1CE81D" w14:textId="6B2C7D66" w:rsidR="00A21A68" w:rsidRDefault="03F9E0D9" w:rsidP="03F9E0D9">
      <w:pPr>
        <w:spacing w:after="0"/>
        <w:ind w:firstLine="720"/>
        <w:jc w:val="left"/>
        <w:rPr>
          <w:sz w:val="22"/>
          <w:szCs w:val="22"/>
        </w:rPr>
      </w:pPr>
      <w:r w:rsidRPr="03F9E0D9">
        <w:rPr>
          <w:sz w:val="22"/>
          <w:szCs w:val="22"/>
        </w:rPr>
        <w:t>A high percentage of men and women perceived gender equality in the workplace</w:t>
      </w:r>
      <w:r w:rsidR="00066259">
        <w:rPr>
          <w:sz w:val="22"/>
          <w:szCs w:val="22"/>
        </w:rPr>
        <w:t>.</w:t>
      </w:r>
      <w:r w:rsidRPr="03F9E0D9">
        <w:rPr>
          <w:sz w:val="22"/>
          <w:szCs w:val="22"/>
        </w:rPr>
        <w:t xml:space="preserve"> 85.7% of men and 68.2% of women responded that their work is valued equally regardless of their gender.  Similarly, 75% of men and 59.7% of women responded that they have equal access to opportunities, including promotion, regardless of their gender.  Despite this perception of equality, 47.3% of women reported experiencing gender bias, defined in the survey as being treated differently than a woman or man counterpart and 50% of women reported the existence of salary gaps among men and women at the same level in their organization.  This contrary data creates a paradox between perception and experience among women.  </w:t>
      </w:r>
    </w:p>
    <w:p w14:paraId="0B001B62" w14:textId="24D3A320" w:rsidR="00A21A68" w:rsidRDefault="420007D4" w:rsidP="00066259">
      <w:pPr>
        <w:spacing w:after="0"/>
        <w:ind w:firstLine="720"/>
        <w:jc w:val="left"/>
        <w:rPr>
          <w:sz w:val="22"/>
          <w:szCs w:val="22"/>
        </w:rPr>
      </w:pPr>
      <w:r w:rsidRPr="420007D4">
        <w:rPr>
          <w:sz w:val="22"/>
          <w:szCs w:val="22"/>
        </w:rPr>
        <w:t xml:space="preserve">Men in the study had a more positive perception of workplace equality and reported a lesser percentage of experienced gender bias. </w:t>
      </w:r>
    </w:p>
    <w:p w14:paraId="247BBBE6" w14:textId="27067882" w:rsidR="00A21A68" w:rsidRPr="00066259" w:rsidRDefault="001B3B57" w:rsidP="00066259">
      <w:pPr>
        <w:spacing w:after="0"/>
        <w:jc w:val="left"/>
        <w:rPr>
          <w:b/>
          <w:bCs/>
          <w:sz w:val="22"/>
          <w:szCs w:val="22"/>
        </w:rPr>
      </w:pPr>
      <w:r>
        <w:tab/>
      </w:r>
      <w:r w:rsidRPr="6F2E715C">
        <w:rPr>
          <w:sz w:val="22"/>
          <w:szCs w:val="22"/>
        </w:rPr>
        <w:t xml:space="preserve">A slightly higher percentage of respondents with women leaders perceived equality in the workplace compared to those with male leaders.  84.3% of respondents with female leaders indicated that their direct supervisor does not consider gender in task assignments compared to 73.1% of respondents with male leaders.  The results were similar regarding the perception of equal opportunity and work being valued equally. 64.7% of respondents with female leaders compared to 61.5% of those with male leaders reported having equal opportunity and 73.1% of respondents with female leaders compared to 70.5% with male leaders reported that their work was valued equally.  </w:t>
      </w:r>
    </w:p>
    <w:p w14:paraId="3EE73105" w14:textId="77777777" w:rsidR="00066259" w:rsidRDefault="001B3B57" w:rsidP="03F9E0D9">
      <w:pPr>
        <w:jc w:val="left"/>
        <w:rPr>
          <w:sz w:val="22"/>
          <w:szCs w:val="22"/>
        </w:rPr>
      </w:pPr>
      <w:r>
        <w:tab/>
      </w:r>
      <w:r w:rsidRPr="6F2E715C">
        <w:rPr>
          <w:sz w:val="22"/>
          <w:szCs w:val="22"/>
        </w:rPr>
        <w:t xml:space="preserve">Among respondents in this study, the highest percentage of respondents who experienced bias were at the highest levels of management. 51.4% of respondents at the senior management level and 46.2% at the owner/executive level reported experiencing bias compared to only 24% at the entry level.  Similarly, 60% at the level of senior management and 46.2% at the owner/executive level identified salary gaps, compared to only 28% at the entry level.   The perception/experience paradox is most apparent at the owner/executive level where despite a high percentage of people experiencing bias, 84.6% reported work being valued equally and 76.9% reported equal opportunity between genders. </w:t>
      </w:r>
    </w:p>
    <w:p w14:paraId="3F3B9A50" w14:textId="77777777" w:rsidR="00A21A68" w:rsidRDefault="420007D4" w:rsidP="420007D4">
      <w:pPr>
        <w:pBdr>
          <w:top w:val="nil"/>
          <w:left w:val="nil"/>
          <w:bottom w:val="nil"/>
          <w:right w:val="nil"/>
          <w:between w:val="nil"/>
        </w:pBdr>
        <w:spacing w:after="0"/>
        <w:rPr>
          <w:color w:val="000000" w:themeColor="text1"/>
          <w:sz w:val="22"/>
          <w:szCs w:val="22"/>
        </w:rPr>
      </w:pPr>
      <w:r w:rsidRPr="420007D4">
        <w:rPr>
          <w:b/>
          <w:bCs/>
          <w:color w:val="000000" w:themeColor="text1"/>
          <w:sz w:val="22"/>
          <w:szCs w:val="22"/>
        </w:rPr>
        <w:lastRenderedPageBreak/>
        <w:t>DISCUSSION AND CONCLUSION</w:t>
      </w:r>
    </w:p>
    <w:p w14:paraId="6C9BB51E" w14:textId="77777777" w:rsidR="00A21A68" w:rsidRDefault="00A21A68" w:rsidP="6F2E715C">
      <w:pPr>
        <w:pBdr>
          <w:top w:val="nil"/>
          <w:left w:val="nil"/>
          <w:bottom w:val="nil"/>
          <w:right w:val="nil"/>
          <w:between w:val="nil"/>
        </w:pBdr>
        <w:spacing w:after="0"/>
        <w:rPr>
          <w:color w:val="000000" w:themeColor="text1"/>
          <w:sz w:val="22"/>
          <w:szCs w:val="22"/>
        </w:rPr>
      </w:pPr>
    </w:p>
    <w:p w14:paraId="2C8039BC" w14:textId="46505858" w:rsidR="00A21A68" w:rsidRDefault="03F9E0D9" w:rsidP="03F9E0D9">
      <w:pPr>
        <w:pBdr>
          <w:top w:val="nil"/>
          <w:left w:val="nil"/>
          <w:bottom w:val="nil"/>
          <w:right w:val="nil"/>
          <w:between w:val="nil"/>
        </w:pBdr>
        <w:spacing w:after="0"/>
        <w:ind w:firstLine="720"/>
        <w:rPr>
          <w:color w:val="000000" w:themeColor="text1"/>
          <w:sz w:val="22"/>
          <w:szCs w:val="22"/>
        </w:rPr>
      </w:pPr>
      <w:r w:rsidRPr="03F9E0D9">
        <w:rPr>
          <w:color w:val="000000" w:themeColor="text1"/>
          <w:sz w:val="22"/>
          <w:szCs w:val="22"/>
        </w:rPr>
        <w:t xml:space="preserve">It is known that women experience barriers in the workplace relative to gender. The degree and significance varies; however, common themes include lack of access to projects, value of work, salary, and after work activities are the top barriers to success. Additionally, with the acknowledgement and lens of Pluralistic Ignorance, an additional and intangible barrier presents itself in the workplace. </w:t>
      </w:r>
    </w:p>
    <w:p w14:paraId="4E33A242" w14:textId="737EBA53" w:rsidR="00A21A68" w:rsidRDefault="00066259" w:rsidP="03F9E0D9">
      <w:pPr>
        <w:pBdr>
          <w:top w:val="nil"/>
          <w:left w:val="nil"/>
          <w:bottom w:val="nil"/>
          <w:right w:val="nil"/>
          <w:between w:val="nil"/>
        </w:pBdr>
        <w:spacing w:after="0"/>
        <w:ind w:firstLine="720"/>
        <w:rPr>
          <w:color w:val="000000" w:themeColor="text1"/>
          <w:sz w:val="22"/>
          <w:szCs w:val="22"/>
        </w:rPr>
      </w:pPr>
      <w:proofErr w:type="spellStart"/>
      <w:r>
        <w:rPr>
          <w:color w:val="000000" w:themeColor="text1"/>
          <w:sz w:val="22"/>
          <w:szCs w:val="22"/>
        </w:rPr>
        <w:t xml:space="preserve">The </w:t>
      </w:r>
      <w:r w:rsidR="03F9E0D9" w:rsidRPr="03F9E0D9">
        <w:rPr>
          <w:color w:val="000000" w:themeColor="text1"/>
          <w:sz w:val="22"/>
          <w:szCs w:val="22"/>
        </w:rPr>
        <w:t>gende</w:t>
      </w:r>
      <w:proofErr w:type="spellEnd"/>
      <w:r w:rsidR="03F9E0D9" w:rsidRPr="03F9E0D9">
        <w:rPr>
          <w:color w:val="000000" w:themeColor="text1"/>
          <w:sz w:val="22"/>
          <w:szCs w:val="22"/>
        </w:rPr>
        <w:t xml:space="preserve">r of a direct supervisor impacts equal opportunity for women, it is perceived that the gender of an individual’s direct supervisor does not have a significant effect on equality opportunity. Men and women both reported equality in equal opportunity related questions and reported equal access to opportunities, including promotion, regardless of their gender.  Despite this response data, nearly half of all women respondents reported experiencing gender bias, defined in the survey as being treated differently than a woman or man counterpart. There is a clear gap in the perception of respondents and their report of having experienced gender bias. </w:t>
      </w:r>
    </w:p>
    <w:p w14:paraId="3D3D8997" w14:textId="77777777" w:rsidR="00066259" w:rsidRDefault="00066259" w:rsidP="00066259">
      <w:pPr>
        <w:pBdr>
          <w:top w:val="nil"/>
          <w:left w:val="nil"/>
          <w:bottom w:val="nil"/>
          <w:right w:val="nil"/>
          <w:between w:val="nil"/>
        </w:pBdr>
        <w:spacing w:after="0"/>
        <w:ind w:firstLine="720"/>
        <w:rPr>
          <w:color w:val="000000" w:themeColor="text1"/>
          <w:sz w:val="22"/>
          <w:szCs w:val="22"/>
        </w:rPr>
      </w:pPr>
      <w:r>
        <w:rPr>
          <w:color w:val="000000" w:themeColor="text1"/>
          <w:sz w:val="22"/>
          <w:szCs w:val="22"/>
        </w:rPr>
        <w:t xml:space="preserve">Evidence </w:t>
      </w:r>
      <w:r w:rsidR="03F9E0D9" w:rsidRPr="03F9E0D9">
        <w:rPr>
          <w:color w:val="000000" w:themeColor="text1"/>
          <w:sz w:val="22"/>
          <w:szCs w:val="22"/>
        </w:rPr>
        <w:t xml:space="preserve">of Pluralistic Ignorance was demonstrated by contrary respondent data and </w:t>
      </w:r>
      <w:proofErr w:type="spellStart"/>
      <w:r w:rsidR="03F9E0D9" w:rsidRPr="03F9E0D9">
        <w:rPr>
          <w:color w:val="000000" w:themeColor="text1"/>
          <w:sz w:val="22"/>
          <w:szCs w:val="22"/>
        </w:rPr>
        <w:t>paradoxal</w:t>
      </w:r>
      <w:proofErr w:type="spellEnd"/>
      <w:r w:rsidR="03F9E0D9" w:rsidRPr="03F9E0D9">
        <w:rPr>
          <w:color w:val="000000" w:themeColor="text1"/>
          <w:sz w:val="22"/>
          <w:szCs w:val="22"/>
        </w:rPr>
        <w:t xml:space="preserve"> trends in which patterns in the data directly linked to group members’ lack of mutual visibility, misreading of behavioral cues by members of a reference group, and taking individual’s public behavior as diagnostic of their private thoughts and feelings as supported by the literature (Grant, O’Neil, &amp; Stephens, 2009; Miller &amp; Nelson, 2002). Reporting in this research study is </w:t>
      </w:r>
      <w:proofErr w:type="gramStart"/>
      <w:r w:rsidR="03F9E0D9" w:rsidRPr="03F9E0D9">
        <w:rPr>
          <w:color w:val="000000" w:themeColor="text1"/>
          <w:sz w:val="22"/>
          <w:szCs w:val="22"/>
        </w:rPr>
        <w:t>similar to</w:t>
      </w:r>
      <w:proofErr w:type="gramEnd"/>
      <w:r w:rsidR="03F9E0D9" w:rsidRPr="03F9E0D9">
        <w:rPr>
          <w:color w:val="000000" w:themeColor="text1"/>
          <w:sz w:val="22"/>
          <w:szCs w:val="22"/>
        </w:rPr>
        <w:t xml:space="preserve"> Pluralistic Ignorance studies surrounding sexual harassment in which individuals convey to others implicit support for behaviors, actions, and the organization culture in question, ultimately limiting reporting of such situations and creating avoidance of the topic all together (Halbesleben, 2009; Miller &amp; Nelson, 2002). </w:t>
      </w:r>
    </w:p>
    <w:p w14:paraId="624437F7" w14:textId="7CD44336" w:rsidR="00A21A68" w:rsidRDefault="00066259" w:rsidP="00066259">
      <w:pPr>
        <w:pBdr>
          <w:top w:val="nil"/>
          <w:left w:val="nil"/>
          <w:bottom w:val="nil"/>
          <w:right w:val="nil"/>
          <w:between w:val="nil"/>
        </w:pBdr>
        <w:spacing w:after="0"/>
        <w:ind w:firstLine="720"/>
        <w:rPr>
          <w:color w:val="000000" w:themeColor="text1"/>
          <w:sz w:val="22"/>
          <w:szCs w:val="22"/>
        </w:rPr>
      </w:pPr>
      <w:r>
        <w:rPr>
          <w:color w:val="000000" w:themeColor="text1"/>
          <w:sz w:val="22"/>
          <w:szCs w:val="22"/>
        </w:rPr>
        <w:t>G</w:t>
      </w:r>
      <w:r w:rsidR="03F9E0D9" w:rsidRPr="03F9E0D9">
        <w:rPr>
          <w:color w:val="000000" w:themeColor="text1"/>
          <w:sz w:val="22"/>
          <w:szCs w:val="22"/>
        </w:rPr>
        <w:t xml:space="preserve">ender bias intensity varies by functional area and leadership level, there is variation in gender bias intensity by functional area. Traditionally male dominated areas, such as Finance and Accounting, demonstrate the highest reported gender bias areas. Accordingly, traditionally female dominated areas like Customer Service received the lowest reported gender bias experiences. The identification of intensity by functional area supports the need to inform and educate the existing workforce and address organization’s culture and norms that may be the result or effect of Pluralistic Ignorance. </w:t>
      </w:r>
    </w:p>
    <w:p w14:paraId="70D92377" w14:textId="05F6A77E" w:rsidR="00A21A68" w:rsidRDefault="03F9E0D9" w:rsidP="00066259">
      <w:pPr>
        <w:pBdr>
          <w:top w:val="nil"/>
          <w:left w:val="nil"/>
          <w:bottom w:val="nil"/>
          <w:right w:val="nil"/>
          <w:between w:val="nil"/>
        </w:pBdr>
        <w:spacing w:after="0"/>
        <w:ind w:firstLine="720"/>
        <w:rPr>
          <w:color w:val="000000" w:themeColor="text1"/>
          <w:sz w:val="22"/>
          <w:szCs w:val="22"/>
        </w:rPr>
      </w:pPr>
      <w:r w:rsidRPr="03F9E0D9">
        <w:rPr>
          <w:color w:val="000000" w:themeColor="text1"/>
          <w:sz w:val="22"/>
          <w:szCs w:val="22"/>
        </w:rPr>
        <w:t>The lack of acknowledgement of the existence of gender bias by men and by the highest levels of management is concerning.  More men than women are in higher level management positions</w:t>
      </w:r>
      <w:r w:rsidR="00066259">
        <w:rPr>
          <w:color w:val="000000" w:themeColor="text1"/>
          <w:sz w:val="22"/>
          <w:szCs w:val="22"/>
        </w:rPr>
        <w:t>.</w:t>
      </w:r>
      <w:r w:rsidRPr="03F9E0D9">
        <w:rPr>
          <w:color w:val="000000" w:themeColor="text1"/>
          <w:sz w:val="22"/>
          <w:szCs w:val="22"/>
        </w:rPr>
        <w:t xml:space="preserve"> If individuals in higher leader levels with authority and power to positively impact equality in the workplace do not see this inequality, this will impede efforts to change it. Although there are limitations of this study including sample size, geographic location of respondents, and further evaluation of additional variables such as leadership behavior and organizational structure, this study contributes to existing literature by clarifying linkages between gender, gender bias, leadership rank, and specific industry functions by exposing the dynamism and relationship among these considerations as well as the impact of Pluralistic Ignorance. </w:t>
      </w:r>
    </w:p>
    <w:p w14:paraId="55328B88" w14:textId="77777777" w:rsidR="00A21A68" w:rsidRDefault="00A21A68" w:rsidP="03F9E0D9">
      <w:pPr>
        <w:pBdr>
          <w:top w:val="nil"/>
          <w:left w:val="nil"/>
          <w:bottom w:val="nil"/>
          <w:right w:val="nil"/>
          <w:between w:val="nil"/>
        </w:pBdr>
        <w:spacing w:after="0"/>
        <w:jc w:val="left"/>
        <w:rPr>
          <w:color w:val="000000" w:themeColor="text1"/>
          <w:sz w:val="22"/>
          <w:szCs w:val="22"/>
        </w:rPr>
      </w:pPr>
    </w:p>
    <w:p w14:paraId="0F1FD1A0" w14:textId="77777777" w:rsidR="00A21A68" w:rsidRDefault="03F9E0D9" w:rsidP="03F9E0D9">
      <w:pPr>
        <w:pBdr>
          <w:top w:val="nil"/>
          <w:left w:val="nil"/>
          <w:bottom w:val="nil"/>
          <w:right w:val="nil"/>
          <w:between w:val="nil"/>
        </w:pBdr>
        <w:spacing w:after="0"/>
        <w:jc w:val="left"/>
        <w:rPr>
          <w:b/>
          <w:bCs/>
          <w:color w:val="000000" w:themeColor="text1"/>
          <w:sz w:val="22"/>
          <w:szCs w:val="22"/>
        </w:rPr>
      </w:pPr>
      <w:r w:rsidRPr="03F9E0D9">
        <w:rPr>
          <w:b/>
          <w:bCs/>
          <w:color w:val="000000" w:themeColor="text1"/>
          <w:sz w:val="22"/>
          <w:szCs w:val="22"/>
        </w:rPr>
        <w:t>REFERENCES</w:t>
      </w:r>
    </w:p>
    <w:p w14:paraId="52B9AC35" w14:textId="77777777" w:rsidR="00A21A68" w:rsidRDefault="03F9E0D9" w:rsidP="03F9E0D9">
      <w:pPr>
        <w:pBdr>
          <w:top w:val="nil"/>
          <w:left w:val="nil"/>
          <w:bottom w:val="nil"/>
          <w:right w:val="nil"/>
          <w:between w:val="nil"/>
        </w:pBdr>
        <w:spacing w:after="0"/>
        <w:ind w:left="720" w:hanging="720"/>
        <w:rPr>
          <w:color w:val="000000" w:themeColor="text1"/>
          <w:sz w:val="22"/>
          <w:szCs w:val="22"/>
        </w:rPr>
      </w:pPr>
      <w:r w:rsidRPr="03F9E0D9">
        <w:rPr>
          <w:color w:val="000000" w:themeColor="text1"/>
          <w:sz w:val="22"/>
          <w:szCs w:val="22"/>
        </w:rPr>
        <w:t xml:space="preserve">Blayney, C. &amp; </w:t>
      </w:r>
      <w:proofErr w:type="spellStart"/>
      <w:r w:rsidRPr="03F9E0D9">
        <w:rPr>
          <w:color w:val="000000" w:themeColor="text1"/>
          <w:sz w:val="22"/>
          <w:szCs w:val="22"/>
        </w:rPr>
        <w:t>Blotnicky</w:t>
      </w:r>
      <w:proofErr w:type="spellEnd"/>
      <w:r w:rsidRPr="03F9E0D9">
        <w:rPr>
          <w:color w:val="000000" w:themeColor="text1"/>
          <w:sz w:val="22"/>
          <w:szCs w:val="22"/>
        </w:rPr>
        <w:t xml:space="preserve">, K. (2010). The Impact of Gender on Career Paths and Management Capability in the Hotel Industry in Canada. </w:t>
      </w:r>
      <w:r w:rsidRPr="03F9E0D9">
        <w:rPr>
          <w:i/>
          <w:iCs/>
          <w:color w:val="000000" w:themeColor="text1"/>
          <w:sz w:val="22"/>
          <w:szCs w:val="22"/>
        </w:rPr>
        <w:t xml:space="preserve">Journal of Human Resources </w:t>
      </w:r>
      <w:proofErr w:type="gramStart"/>
      <w:r w:rsidRPr="03F9E0D9">
        <w:rPr>
          <w:i/>
          <w:iCs/>
          <w:color w:val="000000" w:themeColor="text1"/>
          <w:sz w:val="22"/>
          <w:szCs w:val="22"/>
        </w:rPr>
        <w:t>In</w:t>
      </w:r>
      <w:proofErr w:type="gramEnd"/>
      <w:r w:rsidRPr="03F9E0D9">
        <w:rPr>
          <w:i/>
          <w:iCs/>
          <w:color w:val="000000" w:themeColor="text1"/>
          <w:sz w:val="22"/>
          <w:szCs w:val="22"/>
        </w:rPr>
        <w:t xml:space="preserve"> Hospitality &amp; Tourism</w:t>
      </w:r>
      <w:r w:rsidRPr="03F9E0D9">
        <w:rPr>
          <w:color w:val="000000" w:themeColor="text1"/>
          <w:sz w:val="22"/>
          <w:szCs w:val="22"/>
        </w:rPr>
        <w:t>, 9(3), 233-255. doi:10.1080/15332845.2010.487014</w:t>
      </w:r>
    </w:p>
    <w:p w14:paraId="3810593A" w14:textId="77777777" w:rsidR="00A21A68" w:rsidRDefault="03F9E0D9" w:rsidP="03F9E0D9">
      <w:pPr>
        <w:pBdr>
          <w:top w:val="nil"/>
          <w:left w:val="nil"/>
          <w:bottom w:val="nil"/>
          <w:right w:val="nil"/>
          <w:between w:val="nil"/>
        </w:pBdr>
        <w:spacing w:after="0"/>
        <w:ind w:left="720" w:hanging="720"/>
        <w:rPr>
          <w:color w:val="000000" w:themeColor="text1"/>
          <w:sz w:val="22"/>
          <w:szCs w:val="22"/>
        </w:rPr>
      </w:pPr>
      <w:proofErr w:type="spellStart"/>
      <w:r w:rsidRPr="03F9E0D9">
        <w:rPr>
          <w:color w:val="000000" w:themeColor="text1"/>
          <w:sz w:val="22"/>
          <w:szCs w:val="22"/>
        </w:rPr>
        <w:t>Borasi</w:t>
      </w:r>
      <w:proofErr w:type="spellEnd"/>
      <w:r w:rsidRPr="03F9E0D9">
        <w:rPr>
          <w:color w:val="000000" w:themeColor="text1"/>
          <w:sz w:val="22"/>
          <w:szCs w:val="22"/>
        </w:rPr>
        <w:t xml:space="preserve">, R., &amp; Finnigan, K. (2010). Entrepreneurial attitudes and behaviors that can help prepare successful change-agents in education. </w:t>
      </w:r>
      <w:r w:rsidRPr="03F9E0D9">
        <w:rPr>
          <w:i/>
          <w:iCs/>
          <w:color w:val="000000" w:themeColor="text1"/>
          <w:sz w:val="22"/>
          <w:szCs w:val="22"/>
        </w:rPr>
        <w:t>New Educator</w:t>
      </w:r>
      <w:r w:rsidRPr="03F9E0D9">
        <w:rPr>
          <w:color w:val="000000" w:themeColor="text1"/>
          <w:sz w:val="22"/>
          <w:szCs w:val="22"/>
        </w:rPr>
        <w:t>. 6(1), 1-29.</w:t>
      </w:r>
    </w:p>
    <w:p w14:paraId="663BD617" w14:textId="77777777" w:rsidR="00A21A68" w:rsidRDefault="03F9E0D9" w:rsidP="03F9E0D9">
      <w:pPr>
        <w:pBdr>
          <w:top w:val="nil"/>
          <w:left w:val="nil"/>
          <w:bottom w:val="nil"/>
          <w:right w:val="nil"/>
          <w:between w:val="nil"/>
        </w:pBdr>
        <w:spacing w:after="0"/>
        <w:ind w:left="720" w:hanging="720"/>
        <w:rPr>
          <w:color w:val="000000" w:themeColor="text1"/>
          <w:sz w:val="22"/>
          <w:szCs w:val="22"/>
        </w:rPr>
      </w:pPr>
      <w:r w:rsidRPr="03F9E0D9">
        <w:rPr>
          <w:color w:val="000000" w:themeColor="text1"/>
          <w:sz w:val="22"/>
          <w:szCs w:val="22"/>
        </w:rPr>
        <w:t xml:space="preserve">Evans, D. (2011). Room at the top: Advancement and equity for women in the business world. </w:t>
      </w:r>
      <w:r w:rsidRPr="03F9E0D9">
        <w:rPr>
          <w:i/>
          <w:iCs/>
          <w:color w:val="000000" w:themeColor="text1"/>
          <w:sz w:val="22"/>
          <w:szCs w:val="22"/>
        </w:rPr>
        <w:t>National Civic Review</w:t>
      </w:r>
      <w:r w:rsidRPr="03F9E0D9">
        <w:rPr>
          <w:color w:val="000000" w:themeColor="text1"/>
          <w:sz w:val="22"/>
          <w:szCs w:val="22"/>
        </w:rPr>
        <w:t>, 100(2), 62-64. doi:10.1002/ncr.20061</w:t>
      </w:r>
    </w:p>
    <w:p w14:paraId="20913043" w14:textId="77777777" w:rsidR="00A21A68" w:rsidRDefault="03F9E0D9" w:rsidP="03F9E0D9">
      <w:pPr>
        <w:pBdr>
          <w:top w:val="nil"/>
          <w:left w:val="nil"/>
          <w:bottom w:val="nil"/>
          <w:right w:val="nil"/>
          <w:between w:val="nil"/>
        </w:pBdr>
        <w:spacing w:after="0"/>
        <w:ind w:left="720" w:hanging="720"/>
        <w:rPr>
          <w:color w:val="000000" w:themeColor="text1"/>
          <w:sz w:val="22"/>
          <w:szCs w:val="22"/>
        </w:rPr>
      </w:pPr>
      <w:r w:rsidRPr="03F9E0D9">
        <w:rPr>
          <w:color w:val="000000" w:themeColor="text1"/>
          <w:sz w:val="22"/>
          <w:szCs w:val="22"/>
        </w:rPr>
        <w:t xml:space="preserve">Grant, D., O'Neil, K., &amp; Stephens, L. (2009). Pluralistic Ignorance Among Assembled Peers. </w:t>
      </w:r>
      <w:r w:rsidRPr="03F9E0D9">
        <w:rPr>
          <w:i/>
          <w:iCs/>
          <w:color w:val="000000" w:themeColor="text1"/>
          <w:sz w:val="22"/>
          <w:szCs w:val="22"/>
        </w:rPr>
        <w:t>Sociological Perspectives</w:t>
      </w:r>
      <w:r w:rsidRPr="03F9E0D9">
        <w:rPr>
          <w:color w:val="000000" w:themeColor="text1"/>
          <w:sz w:val="22"/>
          <w:szCs w:val="22"/>
        </w:rPr>
        <w:t>, 52(1), 59-79.</w:t>
      </w:r>
    </w:p>
    <w:p w14:paraId="7CF53023" w14:textId="77777777" w:rsidR="00A21A68" w:rsidRDefault="03F9E0D9" w:rsidP="03F9E0D9">
      <w:pPr>
        <w:pBdr>
          <w:top w:val="nil"/>
          <w:left w:val="nil"/>
          <w:bottom w:val="nil"/>
          <w:right w:val="nil"/>
          <w:between w:val="nil"/>
        </w:pBdr>
        <w:spacing w:after="0"/>
        <w:ind w:left="720" w:hanging="720"/>
        <w:rPr>
          <w:color w:val="000000" w:themeColor="text1"/>
          <w:sz w:val="22"/>
          <w:szCs w:val="22"/>
        </w:rPr>
      </w:pPr>
      <w:r w:rsidRPr="03F9E0D9">
        <w:rPr>
          <w:color w:val="000000" w:themeColor="text1"/>
          <w:sz w:val="22"/>
          <w:szCs w:val="22"/>
        </w:rPr>
        <w:t xml:space="preserve">Halbesleben, J. B. (2009). The Role of Pluralistic Ignorance in the Reporting of Sexual Harassment. </w:t>
      </w:r>
      <w:r w:rsidRPr="03F9E0D9">
        <w:rPr>
          <w:i/>
          <w:iCs/>
          <w:color w:val="000000" w:themeColor="text1"/>
          <w:sz w:val="22"/>
          <w:szCs w:val="22"/>
        </w:rPr>
        <w:t>Basic &amp; Applied Social Psychology</w:t>
      </w:r>
      <w:r w:rsidRPr="03F9E0D9">
        <w:rPr>
          <w:color w:val="000000" w:themeColor="text1"/>
          <w:sz w:val="22"/>
          <w:szCs w:val="22"/>
        </w:rPr>
        <w:t>, 31(3), 210-217. doi:10.1080/01973530903058284</w:t>
      </w:r>
    </w:p>
    <w:p w14:paraId="65449896" w14:textId="77777777" w:rsidR="00A21A68" w:rsidRDefault="03F9E0D9" w:rsidP="03F9E0D9">
      <w:pPr>
        <w:pBdr>
          <w:top w:val="nil"/>
          <w:left w:val="nil"/>
          <w:bottom w:val="nil"/>
          <w:right w:val="nil"/>
          <w:between w:val="nil"/>
        </w:pBdr>
        <w:spacing w:after="0"/>
        <w:ind w:left="720" w:hanging="720"/>
        <w:rPr>
          <w:color w:val="000000" w:themeColor="text1"/>
          <w:sz w:val="22"/>
          <w:szCs w:val="22"/>
        </w:rPr>
      </w:pPr>
      <w:r w:rsidRPr="03F9E0D9">
        <w:rPr>
          <w:color w:val="000000" w:themeColor="text1"/>
          <w:sz w:val="22"/>
          <w:szCs w:val="22"/>
        </w:rPr>
        <w:t xml:space="preserve">Miller, D. T., &amp; Nelson, L. D. (2002). Seeing Approach Motivation in the Avoidance Behavior of Others: Implications for an Understanding of Pluralistic Ignorance. </w:t>
      </w:r>
      <w:r w:rsidRPr="03F9E0D9">
        <w:rPr>
          <w:i/>
          <w:iCs/>
          <w:color w:val="000000" w:themeColor="text1"/>
          <w:sz w:val="22"/>
          <w:szCs w:val="22"/>
        </w:rPr>
        <w:t>Journal of Personality &amp; Social Psychology</w:t>
      </w:r>
      <w:r w:rsidRPr="03F9E0D9">
        <w:rPr>
          <w:color w:val="000000" w:themeColor="text1"/>
          <w:sz w:val="22"/>
          <w:szCs w:val="22"/>
        </w:rPr>
        <w:t>, 83(5), 1066-1075. doi:10.1037//0022-3514.83.5.1066</w:t>
      </w:r>
    </w:p>
    <w:p w14:paraId="139EA5A9" w14:textId="77777777" w:rsidR="00A21A68" w:rsidRDefault="03F9E0D9" w:rsidP="03F9E0D9">
      <w:pPr>
        <w:pBdr>
          <w:top w:val="nil"/>
          <w:left w:val="nil"/>
          <w:bottom w:val="nil"/>
          <w:right w:val="nil"/>
          <w:between w:val="nil"/>
        </w:pBdr>
        <w:spacing w:after="0"/>
        <w:ind w:left="720" w:hanging="720"/>
        <w:rPr>
          <w:color w:val="000000" w:themeColor="text1"/>
          <w:sz w:val="22"/>
          <w:szCs w:val="22"/>
        </w:rPr>
      </w:pPr>
      <w:r w:rsidRPr="03F9E0D9">
        <w:rPr>
          <w:color w:val="000000" w:themeColor="text1"/>
          <w:sz w:val="22"/>
          <w:szCs w:val="22"/>
        </w:rPr>
        <w:lastRenderedPageBreak/>
        <w:t xml:space="preserve">Miller, G. L., &amp; Sisk, F. A. (2012). Business Education and gender bias at the ‘C-Level’. </w:t>
      </w:r>
      <w:r w:rsidRPr="03F9E0D9">
        <w:rPr>
          <w:i/>
          <w:iCs/>
          <w:color w:val="000000" w:themeColor="text1"/>
          <w:sz w:val="22"/>
          <w:szCs w:val="22"/>
        </w:rPr>
        <w:t>Administrative Issues Journal: Education, Practice &amp; Research</w:t>
      </w:r>
      <w:r w:rsidRPr="03F9E0D9">
        <w:rPr>
          <w:color w:val="000000" w:themeColor="text1"/>
          <w:sz w:val="22"/>
          <w:szCs w:val="22"/>
        </w:rPr>
        <w:t>, 2(1), 16-25. doi:10.5929/2011.2.1.10</w:t>
      </w:r>
    </w:p>
    <w:p w14:paraId="119F1D68" w14:textId="77777777" w:rsidR="00DE654C" w:rsidRDefault="00DE654C" w:rsidP="03F9E0D9">
      <w:pPr>
        <w:pBdr>
          <w:top w:val="nil"/>
          <w:left w:val="nil"/>
          <w:bottom w:val="nil"/>
          <w:right w:val="nil"/>
          <w:between w:val="nil"/>
        </w:pBdr>
        <w:spacing w:after="0"/>
        <w:ind w:left="720" w:hanging="720"/>
        <w:rPr>
          <w:color w:val="000000" w:themeColor="text1"/>
          <w:sz w:val="22"/>
          <w:szCs w:val="22"/>
        </w:rPr>
      </w:pPr>
    </w:p>
    <w:p w14:paraId="2037E691" w14:textId="77777777" w:rsidR="00DE654C" w:rsidRDefault="00DE654C" w:rsidP="03F9E0D9">
      <w:pPr>
        <w:pBdr>
          <w:top w:val="nil"/>
          <w:left w:val="nil"/>
          <w:bottom w:val="nil"/>
          <w:right w:val="nil"/>
          <w:between w:val="nil"/>
        </w:pBdr>
        <w:spacing w:after="0"/>
        <w:ind w:left="720" w:hanging="720"/>
        <w:rPr>
          <w:color w:val="000000" w:themeColor="text1"/>
          <w:sz w:val="22"/>
          <w:szCs w:val="22"/>
        </w:rPr>
      </w:pPr>
    </w:p>
    <w:p w14:paraId="1B95139B" w14:textId="77777777" w:rsidR="00DE654C" w:rsidRDefault="00DE654C" w:rsidP="03F9E0D9">
      <w:pPr>
        <w:pBdr>
          <w:top w:val="nil"/>
          <w:left w:val="nil"/>
          <w:bottom w:val="nil"/>
          <w:right w:val="nil"/>
          <w:between w:val="nil"/>
        </w:pBdr>
        <w:spacing w:after="0"/>
        <w:ind w:left="720" w:hanging="720"/>
        <w:rPr>
          <w:color w:val="000000" w:themeColor="text1"/>
          <w:sz w:val="22"/>
          <w:szCs w:val="22"/>
        </w:rPr>
      </w:pPr>
    </w:p>
    <w:p w14:paraId="21D4D311" w14:textId="77777777" w:rsidR="00EC2514" w:rsidRDefault="00EC2514" w:rsidP="03F9E0D9">
      <w:pPr>
        <w:pBdr>
          <w:top w:val="nil"/>
          <w:left w:val="nil"/>
          <w:bottom w:val="nil"/>
          <w:right w:val="nil"/>
          <w:between w:val="nil"/>
        </w:pBdr>
        <w:spacing w:after="0"/>
        <w:ind w:left="720" w:hanging="720"/>
        <w:rPr>
          <w:color w:val="000000" w:themeColor="text1"/>
          <w:sz w:val="22"/>
          <w:szCs w:val="22"/>
        </w:rPr>
      </w:pPr>
    </w:p>
    <w:sectPr w:rsidR="00EC2514">
      <w:headerReference w:type="default" r:id="rId6"/>
      <w:headerReference w:type="firs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C6E2" w14:textId="77777777" w:rsidR="00CC1CA5" w:rsidRDefault="00CC1CA5">
      <w:pPr>
        <w:spacing w:after="0"/>
      </w:pPr>
      <w:r>
        <w:separator/>
      </w:r>
    </w:p>
  </w:endnote>
  <w:endnote w:type="continuationSeparator" w:id="0">
    <w:p w14:paraId="7EDD0FD0" w14:textId="77777777" w:rsidR="00CC1CA5" w:rsidRDefault="00CC1C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307A" w14:textId="77777777" w:rsidR="00CC1CA5" w:rsidRDefault="00CC1CA5">
      <w:pPr>
        <w:spacing w:after="0"/>
      </w:pPr>
      <w:r>
        <w:separator/>
      </w:r>
    </w:p>
  </w:footnote>
  <w:footnote w:type="continuationSeparator" w:id="0">
    <w:p w14:paraId="64028F91" w14:textId="77777777" w:rsidR="00CC1CA5" w:rsidRDefault="00CC1C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8141" w14:textId="77777777" w:rsidR="00A21A68" w:rsidRDefault="00A21A68">
    <w:pPr>
      <w:tabs>
        <w:tab w:val="left" w:pos="90"/>
      </w:tabs>
      <w:jc w:val="center"/>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7C31" w14:textId="77777777" w:rsidR="00A21A68" w:rsidRDefault="420007D4" w:rsidP="420007D4">
    <w:pPr>
      <w:jc w:val="center"/>
      <w:rPr>
        <w:b/>
        <w:bCs/>
        <w:sz w:val="44"/>
        <w:szCs w:val="44"/>
      </w:rPr>
    </w:pPr>
    <w:r w:rsidRPr="420007D4">
      <w:rPr>
        <w:b/>
        <w:bCs/>
        <w:sz w:val="44"/>
        <w:szCs w:val="44"/>
      </w:rPr>
      <w:t>Sample of Full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2E715C"/>
    <w:rsid w:val="00066259"/>
    <w:rsid w:val="001B3B57"/>
    <w:rsid w:val="003A64D5"/>
    <w:rsid w:val="004A33B1"/>
    <w:rsid w:val="00570B5D"/>
    <w:rsid w:val="006B3F5A"/>
    <w:rsid w:val="007D78E5"/>
    <w:rsid w:val="008B3A32"/>
    <w:rsid w:val="0099217E"/>
    <w:rsid w:val="009B35FA"/>
    <w:rsid w:val="00A21A68"/>
    <w:rsid w:val="00CA1B77"/>
    <w:rsid w:val="00CC1CA5"/>
    <w:rsid w:val="00D636E0"/>
    <w:rsid w:val="00DE654C"/>
    <w:rsid w:val="00EC2514"/>
    <w:rsid w:val="03F9E0D9"/>
    <w:rsid w:val="420007D4"/>
    <w:rsid w:val="6F2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8744"/>
  <w15:docId w15:val="{DA3DFF17-EE31-42B5-AF18-5E9E1282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jc w:val="center"/>
      <w:outlineLvl w:val="1"/>
    </w:pPr>
  </w:style>
  <w:style w:type="paragraph" w:styleId="Heading3">
    <w:name w:val="heading 3"/>
    <w:basedOn w:val="Normal"/>
    <w:next w:val="Normal"/>
    <w:pPr>
      <w:keepNext/>
      <w:keepLines/>
      <w:jc w:val="lef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2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Criscione, Noel</dc:creator>
  <cp:lastModifiedBy>Criscione, Noel</cp:lastModifiedBy>
  <cp:revision>3</cp:revision>
  <dcterms:created xsi:type="dcterms:W3CDTF">2019-08-31T15:02:00Z</dcterms:created>
  <dcterms:modified xsi:type="dcterms:W3CDTF">2019-08-31T15:03:00Z</dcterms:modified>
</cp:coreProperties>
</file>