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2E7" w:rsidRPr="00A7624F" w:rsidRDefault="00E9486F" w:rsidP="00EF32E7">
      <w:pPr>
        <w:jc w:val="center"/>
        <w:rPr>
          <w:rFonts w:ascii="Times New Roman" w:hAnsi="Times New Roman"/>
          <w:b/>
          <w:sz w:val="24"/>
          <w:szCs w:val="24"/>
        </w:rPr>
      </w:pPr>
      <w:r w:rsidRPr="00A7624F">
        <w:rPr>
          <w:rFonts w:ascii="Times New Roman" w:hAnsi="Times New Roman"/>
          <w:b/>
          <w:sz w:val="24"/>
          <w:szCs w:val="24"/>
        </w:rPr>
        <w:t>Stranger Knows Best</w:t>
      </w:r>
      <w:r w:rsidR="00EF32E7" w:rsidRPr="00A7624F">
        <w:rPr>
          <w:rFonts w:ascii="Times New Roman" w:hAnsi="Times New Roman"/>
          <w:b/>
          <w:sz w:val="24"/>
          <w:szCs w:val="24"/>
        </w:rPr>
        <w:t xml:space="preserve">: </w:t>
      </w:r>
    </w:p>
    <w:p w:rsidR="00EF32E7" w:rsidRPr="00A7624F" w:rsidRDefault="00EF32E7" w:rsidP="00EF32E7">
      <w:pPr>
        <w:jc w:val="center"/>
        <w:rPr>
          <w:rFonts w:ascii="Times New Roman" w:hAnsi="Times New Roman"/>
          <w:b/>
          <w:sz w:val="24"/>
          <w:szCs w:val="24"/>
        </w:rPr>
      </w:pPr>
      <w:r w:rsidRPr="00A7624F">
        <w:rPr>
          <w:rFonts w:ascii="Times New Roman" w:hAnsi="Times New Roman"/>
          <w:b/>
          <w:sz w:val="24"/>
          <w:szCs w:val="24"/>
        </w:rPr>
        <w:t>CVC Investor and Third-Party Acquirers</w:t>
      </w:r>
    </w:p>
    <w:p w:rsidR="00BB2217" w:rsidRPr="00A7624F" w:rsidRDefault="00BB2217" w:rsidP="0092044C">
      <w:pPr>
        <w:tabs>
          <w:tab w:val="num" w:pos="1440"/>
        </w:tabs>
        <w:autoSpaceDE w:val="0"/>
        <w:autoSpaceDN w:val="0"/>
        <w:adjustRightInd w:val="0"/>
        <w:spacing w:after="0" w:line="480" w:lineRule="auto"/>
        <w:jc w:val="center"/>
        <w:rPr>
          <w:rFonts w:ascii="Times New Roman" w:hAnsi="Times New Roman"/>
          <w:b/>
          <w:sz w:val="24"/>
          <w:szCs w:val="24"/>
        </w:rPr>
      </w:pPr>
    </w:p>
    <w:p w:rsidR="00BB2217" w:rsidRPr="00A7624F" w:rsidRDefault="00BB2217" w:rsidP="0092044C">
      <w:pPr>
        <w:tabs>
          <w:tab w:val="num" w:pos="1440"/>
        </w:tabs>
        <w:autoSpaceDE w:val="0"/>
        <w:autoSpaceDN w:val="0"/>
        <w:adjustRightInd w:val="0"/>
        <w:spacing w:after="0" w:line="480" w:lineRule="auto"/>
        <w:jc w:val="center"/>
        <w:rPr>
          <w:rFonts w:ascii="Times New Roman" w:hAnsi="Times New Roman"/>
          <w:b/>
          <w:sz w:val="24"/>
          <w:szCs w:val="24"/>
        </w:rPr>
      </w:pPr>
    </w:p>
    <w:p w:rsidR="004763E7" w:rsidRPr="00A7624F" w:rsidRDefault="004763E7" w:rsidP="004763E7">
      <w:pPr>
        <w:tabs>
          <w:tab w:val="num" w:pos="1440"/>
        </w:tabs>
        <w:autoSpaceDE w:val="0"/>
        <w:autoSpaceDN w:val="0"/>
        <w:adjustRightInd w:val="0"/>
        <w:spacing w:after="0" w:line="480" w:lineRule="auto"/>
        <w:jc w:val="center"/>
        <w:rPr>
          <w:rFonts w:ascii="Times New Roman" w:hAnsi="Times New Roman"/>
          <w:b/>
          <w:sz w:val="24"/>
          <w:szCs w:val="24"/>
        </w:rPr>
      </w:pPr>
      <w:r w:rsidRPr="00A7624F">
        <w:rPr>
          <w:rFonts w:ascii="Times New Roman" w:hAnsi="Times New Roman"/>
          <w:b/>
          <w:bCs/>
          <w:sz w:val="24"/>
          <w:szCs w:val="24"/>
        </w:rPr>
        <w:t>Abstract</w:t>
      </w:r>
    </w:p>
    <w:p w:rsidR="004763E7" w:rsidRPr="00A7624F" w:rsidRDefault="004763E7" w:rsidP="004763E7">
      <w:pPr>
        <w:spacing w:after="0" w:line="480" w:lineRule="auto"/>
        <w:rPr>
          <w:rFonts w:ascii="Times New Roman" w:hAnsi="Times New Roman"/>
        </w:rPr>
      </w:pPr>
      <w:bookmarkStart w:id="0" w:name="_GoBack"/>
      <w:r w:rsidRPr="00A7624F">
        <w:rPr>
          <w:rFonts w:ascii="Times New Roman" w:hAnsi="Times New Roman"/>
          <w:sz w:val="24"/>
          <w:szCs w:val="24"/>
        </w:rPr>
        <w:t xml:space="preserve">Although the literature has theoretically pointed out both the financial and strategic implications associated with </w:t>
      </w:r>
      <w:r w:rsidR="007804C5">
        <w:rPr>
          <w:rFonts w:ascii="Times New Roman" w:hAnsi="Times New Roman"/>
          <w:sz w:val="24"/>
          <w:szCs w:val="24"/>
        </w:rPr>
        <w:t>corporate venture capital (CVC)</w:t>
      </w:r>
      <w:r w:rsidRPr="00A7624F">
        <w:rPr>
          <w:rFonts w:ascii="Times New Roman" w:hAnsi="Times New Roman"/>
          <w:sz w:val="24"/>
          <w:szCs w:val="24"/>
        </w:rPr>
        <w:t xml:space="preserve"> acquisitions, empirical research on this topic remains limited.  Our study attempts to advance the understanding of this phenomenon by examining the market reactions to CVC acquisitions when different acquirers are involved</w:t>
      </w:r>
      <w:r w:rsidR="004E6348" w:rsidRPr="00A7624F">
        <w:rPr>
          <w:rFonts w:ascii="Times New Roman" w:hAnsi="Times New Roman"/>
          <w:sz w:val="24"/>
          <w:szCs w:val="24"/>
        </w:rPr>
        <w:t xml:space="preserve"> (CVC investor acquirer vs. third-party acquirers)</w:t>
      </w:r>
      <w:r w:rsidRPr="00A7624F">
        <w:rPr>
          <w:rFonts w:ascii="Times New Roman" w:hAnsi="Times New Roman"/>
          <w:sz w:val="24"/>
          <w:szCs w:val="24"/>
        </w:rPr>
        <w:t xml:space="preserve">.  Specifically, we find </w:t>
      </w:r>
      <w:r w:rsidR="004E6348" w:rsidRPr="00A7624F">
        <w:rPr>
          <w:rFonts w:ascii="Times New Roman" w:hAnsi="Times New Roman"/>
          <w:sz w:val="24"/>
          <w:szCs w:val="24"/>
        </w:rPr>
        <w:t>the market react</w:t>
      </w:r>
      <w:r w:rsidR="00730E0B" w:rsidRPr="00A7624F">
        <w:rPr>
          <w:rFonts w:ascii="Times New Roman" w:hAnsi="Times New Roman"/>
          <w:sz w:val="24"/>
          <w:szCs w:val="24"/>
        </w:rPr>
        <w:t>s</w:t>
      </w:r>
      <w:r w:rsidR="004E6348" w:rsidRPr="00A7624F">
        <w:rPr>
          <w:rFonts w:ascii="Times New Roman" w:hAnsi="Times New Roman"/>
          <w:sz w:val="24"/>
          <w:szCs w:val="24"/>
        </w:rPr>
        <w:t xml:space="preserve"> more positively to CVC acquisitions by third-party acquirers than by CVC investors.  Furthermore, the findings show </w:t>
      </w:r>
      <w:r w:rsidRPr="00A7624F">
        <w:rPr>
          <w:rFonts w:ascii="Times New Roman" w:hAnsi="Times New Roman"/>
          <w:sz w:val="24"/>
          <w:szCs w:val="24"/>
        </w:rPr>
        <w:t xml:space="preserve">that </w:t>
      </w:r>
      <w:r w:rsidR="004E6348" w:rsidRPr="00A7624F">
        <w:rPr>
          <w:rFonts w:ascii="Times New Roman" w:hAnsi="Times New Roman"/>
          <w:sz w:val="24"/>
          <w:szCs w:val="24"/>
        </w:rPr>
        <w:t xml:space="preserve">the relationship between acquirer in-house R&amp;D and market reactions to CVC acquisitions is moderated by whether CVC investors are the major investor </w:t>
      </w:r>
      <w:proofErr w:type="gramStart"/>
      <w:r w:rsidR="004E6348" w:rsidRPr="00A7624F">
        <w:rPr>
          <w:rFonts w:ascii="Times New Roman" w:hAnsi="Times New Roman"/>
          <w:i/>
          <w:sz w:val="24"/>
          <w:szCs w:val="24"/>
        </w:rPr>
        <w:t>pre</w:t>
      </w:r>
      <w:r w:rsidR="004E6348" w:rsidRPr="00A7624F">
        <w:rPr>
          <w:rFonts w:ascii="Times New Roman" w:hAnsi="Times New Roman"/>
          <w:sz w:val="24"/>
          <w:szCs w:val="24"/>
        </w:rPr>
        <w:t xml:space="preserve"> acquisition</w:t>
      </w:r>
      <w:proofErr w:type="gramEnd"/>
      <w:r w:rsidR="004E6348" w:rsidRPr="00A7624F">
        <w:rPr>
          <w:rFonts w:ascii="Times New Roman" w:hAnsi="Times New Roman"/>
          <w:sz w:val="24"/>
          <w:szCs w:val="24"/>
        </w:rPr>
        <w:t xml:space="preserve">. </w:t>
      </w:r>
    </w:p>
    <w:bookmarkEnd w:id="0"/>
    <w:p w:rsidR="0055026D" w:rsidRPr="00A7624F" w:rsidRDefault="0055026D">
      <w:pPr>
        <w:rPr>
          <w:rFonts w:ascii="Times New Roman" w:hAnsi="Times New Roman"/>
          <w:b/>
          <w:sz w:val="24"/>
          <w:szCs w:val="24"/>
        </w:rPr>
      </w:pPr>
    </w:p>
    <w:p w:rsidR="004763E7" w:rsidRPr="00A7624F" w:rsidRDefault="004763E7">
      <w:pPr>
        <w:rPr>
          <w:rFonts w:ascii="Times New Roman" w:hAnsi="Times New Roman"/>
          <w:b/>
          <w:sz w:val="24"/>
          <w:szCs w:val="24"/>
        </w:rPr>
      </w:pPr>
      <w:r w:rsidRPr="00A7624F">
        <w:rPr>
          <w:rFonts w:ascii="Times New Roman" w:hAnsi="Times New Roman"/>
          <w:b/>
          <w:sz w:val="24"/>
          <w:szCs w:val="24"/>
        </w:rPr>
        <w:br w:type="page"/>
      </w:r>
    </w:p>
    <w:p w:rsidR="00D41979" w:rsidRPr="00A7624F" w:rsidRDefault="0055026D" w:rsidP="0055026D">
      <w:pPr>
        <w:tabs>
          <w:tab w:val="num" w:pos="1440"/>
        </w:tabs>
        <w:autoSpaceDE w:val="0"/>
        <w:autoSpaceDN w:val="0"/>
        <w:adjustRightInd w:val="0"/>
        <w:spacing w:after="0" w:line="480" w:lineRule="auto"/>
        <w:jc w:val="center"/>
        <w:rPr>
          <w:rFonts w:ascii="Times New Roman" w:hAnsi="Times New Roman"/>
          <w:b/>
          <w:sz w:val="24"/>
          <w:szCs w:val="24"/>
        </w:rPr>
      </w:pPr>
      <w:r w:rsidRPr="00A7624F">
        <w:rPr>
          <w:rFonts w:ascii="Times New Roman" w:hAnsi="Times New Roman"/>
          <w:b/>
          <w:sz w:val="24"/>
          <w:szCs w:val="24"/>
        </w:rPr>
        <w:lastRenderedPageBreak/>
        <w:t>INTRODUCTION</w:t>
      </w:r>
    </w:p>
    <w:p w:rsidR="00D41979" w:rsidRPr="00A7624F" w:rsidRDefault="00D41979" w:rsidP="0092044C">
      <w:pPr>
        <w:tabs>
          <w:tab w:val="num" w:pos="1440"/>
        </w:tabs>
        <w:autoSpaceDE w:val="0"/>
        <w:autoSpaceDN w:val="0"/>
        <w:adjustRightInd w:val="0"/>
        <w:spacing w:after="0" w:line="480" w:lineRule="auto"/>
        <w:ind w:firstLineChars="300" w:firstLine="720"/>
        <w:rPr>
          <w:rFonts w:ascii="Times New Roman" w:hAnsi="Times New Roman"/>
          <w:sz w:val="24"/>
          <w:szCs w:val="24"/>
        </w:rPr>
      </w:pPr>
      <w:r w:rsidRPr="00A7624F">
        <w:rPr>
          <w:rFonts w:ascii="Times New Roman" w:hAnsi="Times New Roman"/>
          <w:sz w:val="24"/>
          <w:szCs w:val="24"/>
        </w:rPr>
        <w:t>Corporate venture capital (CVC) involves direct equity investment by established corporations (</w:t>
      </w:r>
      <w:r w:rsidR="000706E5" w:rsidRPr="00A7624F">
        <w:rPr>
          <w:rFonts w:ascii="Times New Roman" w:hAnsi="Times New Roman"/>
          <w:sz w:val="24"/>
          <w:szCs w:val="24"/>
        </w:rPr>
        <w:t>CVC</w:t>
      </w:r>
      <w:r w:rsidRPr="00A7624F">
        <w:rPr>
          <w:rFonts w:ascii="Times New Roman" w:hAnsi="Times New Roman"/>
          <w:sz w:val="24"/>
          <w:szCs w:val="24"/>
        </w:rPr>
        <w:t xml:space="preserve"> investors) in external privately held entrepreneurial companies (portfolio companies).  CVC investments have been flourishing in the US and globally in the past few decades making corporate investors an important player in the venture capital market.  Since 1995 to 2008 when the </w:t>
      </w:r>
      <w:proofErr w:type="gramStart"/>
      <w:r w:rsidRPr="00A7624F">
        <w:rPr>
          <w:rFonts w:ascii="Times New Roman" w:hAnsi="Times New Roman"/>
          <w:sz w:val="24"/>
          <w:szCs w:val="24"/>
        </w:rPr>
        <w:t>financial crisis</w:t>
      </w:r>
      <w:proofErr w:type="gramEnd"/>
      <w:r w:rsidRPr="00A7624F">
        <w:rPr>
          <w:rFonts w:ascii="Times New Roman" w:hAnsi="Times New Roman"/>
          <w:sz w:val="24"/>
          <w:szCs w:val="24"/>
        </w:rPr>
        <w:t xml:space="preserve"> occurred, corporate investors invested more than $44.8 billion into approximately 9,811 deals, accounting for 17.9 percent of the total deals and 10.3 percent of the total dollars invested in the U.S. venture capital market</w:t>
      </w:r>
      <w:r w:rsidRPr="00A7624F">
        <w:rPr>
          <w:rFonts w:ascii="Times New Roman" w:hAnsi="Times New Roman"/>
          <w:sz w:val="24"/>
          <w:szCs w:val="24"/>
          <w:vertAlign w:val="superscript"/>
        </w:rPr>
        <w:footnoteReference w:id="1"/>
      </w:r>
      <w:r w:rsidRPr="00A7624F">
        <w:rPr>
          <w:rFonts w:ascii="Times New Roman" w:hAnsi="Times New Roman"/>
          <w:sz w:val="24"/>
          <w:szCs w:val="24"/>
        </w:rPr>
        <w:t xml:space="preserve">.  After the </w:t>
      </w:r>
      <w:proofErr w:type="gramStart"/>
      <w:r w:rsidRPr="00A7624F">
        <w:rPr>
          <w:rFonts w:ascii="Times New Roman" w:hAnsi="Times New Roman"/>
          <w:sz w:val="24"/>
          <w:szCs w:val="24"/>
        </w:rPr>
        <w:t>financial crisis</w:t>
      </w:r>
      <w:proofErr w:type="gramEnd"/>
      <w:r w:rsidRPr="00A7624F">
        <w:rPr>
          <w:rFonts w:ascii="Times New Roman" w:hAnsi="Times New Roman"/>
          <w:sz w:val="24"/>
          <w:szCs w:val="24"/>
        </w:rPr>
        <w:t xml:space="preserve">, CVC activity began to </w:t>
      </w:r>
      <w:r w:rsidR="00B30766" w:rsidRPr="00A7624F">
        <w:rPr>
          <w:rFonts w:ascii="Times New Roman" w:hAnsi="Times New Roman"/>
          <w:sz w:val="24"/>
          <w:szCs w:val="24"/>
        </w:rPr>
        <w:t>rise again.  From 2010 to 2015</w:t>
      </w:r>
      <w:r w:rsidRPr="00A7624F">
        <w:rPr>
          <w:rFonts w:ascii="Times New Roman" w:hAnsi="Times New Roman"/>
          <w:sz w:val="24"/>
          <w:szCs w:val="24"/>
        </w:rPr>
        <w:t>, CVC investments in the US have in</w:t>
      </w:r>
      <w:r w:rsidR="00B30766" w:rsidRPr="00A7624F">
        <w:rPr>
          <w:rFonts w:ascii="Times New Roman" w:hAnsi="Times New Roman"/>
          <w:sz w:val="24"/>
          <w:szCs w:val="24"/>
        </w:rPr>
        <w:t>creased at an average rate of 33</w:t>
      </w:r>
      <w:r w:rsidRPr="00A7624F">
        <w:rPr>
          <w:rFonts w:ascii="Times New Roman" w:hAnsi="Times New Roman"/>
          <w:sz w:val="24"/>
          <w:szCs w:val="24"/>
        </w:rPr>
        <w:t>.3% annually</w:t>
      </w:r>
      <w:r w:rsidRPr="00A7624F">
        <w:rPr>
          <w:rFonts w:ascii="Times New Roman" w:hAnsi="Times New Roman"/>
          <w:sz w:val="24"/>
          <w:szCs w:val="24"/>
          <w:vertAlign w:val="superscript"/>
        </w:rPr>
        <w:t>1</w:t>
      </w:r>
      <w:r w:rsidRPr="00A7624F">
        <w:rPr>
          <w:rFonts w:ascii="Times New Roman" w:hAnsi="Times New Roman"/>
          <w:sz w:val="24"/>
          <w:szCs w:val="24"/>
        </w:rPr>
        <w:t xml:space="preserve">.  For </w:t>
      </w:r>
      <w:r w:rsidR="00B30766" w:rsidRPr="00A7624F">
        <w:rPr>
          <w:rFonts w:ascii="Times New Roman" w:hAnsi="Times New Roman"/>
          <w:sz w:val="24"/>
          <w:szCs w:val="24"/>
        </w:rPr>
        <w:t>the first three quarters of 2016</w:t>
      </w:r>
      <w:r w:rsidRPr="00A7624F">
        <w:rPr>
          <w:rFonts w:ascii="Times New Roman" w:hAnsi="Times New Roman"/>
          <w:sz w:val="24"/>
          <w:szCs w:val="24"/>
        </w:rPr>
        <w:t xml:space="preserve"> (the latest available statistics), corporate investors invested $</w:t>
      </w:r>
      <w:r w:rsidR="00B30766" w:rsidRPr="00A7624F">
        <w:rPr>
          <w:rFonts w:ascii="Times New Roman" w:hAnsi="Times New Roman"/>
          <w:sz w:val="24"/>
          <w:szCs w:val="24"/>
        </w:rPr>
        <w:t>26.12</w:t>
      </w:r>
      <w:r w:rsidRPr="00A7624F">
        <w:rPr>
          <w:rFonts w:ascii="Times New Roman" w:hAnsi="Times New Roman"/>
          <w:sz w:val="24"/>
          <w:szCs w:val="24"/>
        </w:rPr>
        <w:t xml:space="preserve"> billion in CVC activity, which has exceeded the annual CVC investments in 2014</w:t>
      </w:r>
      <w:r w:rsidRPr="00A7624F">
        <w:rPr>
          <w:rFonts w:ascii="Times New Roman" w:hAnsi="Times New Roman"/>
          <w:sz w:val="24"/>
          <w:szCs w:val="24"/>
          <w:vertAlign w:val="superscript"/>
        </w:rPr>
        <w:t>1</w:t>
      </w:r>
      <w:r w:rsidRPr="00A7624F">
        <w:rPr>
          <w:rFonts w:ascii="Times New Roman" w:hAnsi="Times New Roman"/>
          <w:sz w:val="24"/>
          <w:szCs w:val="24"/>
        </w:rPr>
        <w:t xml:space="preserve">.  </w:t>
      </w:r>
    </w:p>
    <w:p w:rsidR="00D41979" w:rsidRPr="00A7624F" w:rsidRDefault="00D41979" w:rsidP="0092044C">
      <w:pPr>
        <w:tabs>
          <w:tab w:val="num" w:pos="1440"/>
        </w:tabs>
        <w:autoSpaceDE w:val="0"/>
        <w:autoSpaceDN w:val="0"/>
        <w:adjustRightInd w:val="0"/>
        <w:spacing w:after="0" w:line="480" w:lineRule="auto"/>
        <w:ind w:firstLineChars="300" w:firstLine="720"/>
        <w:rPr>
          <w:rFonts w:ascii="Times New Roman" w:hAnsi="Times New Roman"/>
          <w:sz w:val="24"/>
          <w:szCs w:val="24"/>
        </w:rPr>
      </w:pPr>
      <w:r w:rsidRPr="00A7624F">
        <w:rPr>
          <w:rFonts w:ascii="Times New Roman" w:hAnsi="Times New Roman"/>
          <w:sz w:val="24"/>
          <w:szCs w:val="24"/>
        </w:rPr>
        <w:t xml:space="preserve">Accordingly, growing attention is </w:t>
      </w:r>
      <w:proofErr w:type="gramStart"/>
      <w:r w:rsidRPr="00A7624F">
        <w:rPr>
          <w:rFonts w:ascii="Times New Roman" w:hAnsi="Times New Roman"/>
          <w:sz w:val="24"/>
          <w:szCs w:val="24"/>
        </w:rPr>
        <w:t>been</w:t>
      </w:r>
      <w:proofErr w:type="gramEnd"/>
      <w:r w:rsidRPr="00A7624F">
        <w:rPr>
          <w:rFonts w:ascii="Times New Roman" w:hAnsi="Times New Roman"/>
          <w:sz w:val="24"/>
          <w:szCs w:val="24"/>
        </w:rPr>
        <w:t xml:space="preserve"> given to CVC activity in the academic literature of both finance and management fields (e.g., Benson &amp; </w:t>
      </w:r>
      <w:proofErr w:type="spellStart"/>
      <w:r w:rsidRPr="00A7624F">
        <w:rPr>
          <w:rFonts w:ascii="Times New Roman" w:hAnsi="Times New Roman"/>
          <w:sz w:val="24"/>
          <w:szCs w:val="24"/>
        </w:rPr>
        <w:t>Ziedonis</w:t>
      </w:r>
      <w:proofErr w:type="spellEnd"/>
      <w:r w:rsidRPr="00A7624F">
        <w:rPr>
          <w:rFonts w:ascii="Times New Roman" w:hAnsi="Times New Roman"/>
          <w:sz w:val="24"/>
          <w:szCs w:val="24"/>
        </w:rPr>
        <w:t xml:space="preserve">, 2010; </w:t>
      </w:r>
      <w:proofErr w:type="spellStart"/>
      <w:r w:rsidRPr="00A7624F">
        <w:rPr>
          <w:rFonts w:ascii="Times New Roman" w:hAnsi="Times New Roman"/>
          <w:sz w:val="24"/>
          <w:szCs w:val="24"/>
        </w:rPr>
        <w:t>Dushnitsky</w:t>
      </w:r>
      <w:proofErr w:type="spellEnd"/>
      <w:r w:rsidRPr="00A7624F">
        <w:rPr>
          <w:rFonts w:ascii="Times New Roman" w:hAnsi="Times New Roman"/>
          <w:sz w:val="24"/>
          <w:szCs w:val="24"/>
        </w:rPr>
        <w:t xml:space="preserve"> &amp; Lenox, 2005; </w:t>
      </w:r>
      <w:proofErr w:type="spellStart"/>
      <w:r w:rsidRPr="00A7624F">
        <w:rPr>
          <w:rFonts w:ascii="Times New Roman" w:hAnsi="Times New Roman"/>
          <w:sz w:val="24"/>
          <w:szCs w:val="24"/>
        </w:rPr>
        <w:t>Sahaym</w:t>
      </w:r>
      <w:proofErr w:type="spellEnd"/>
      <w:r w:rsidRPr="00A7624F">
        <w:rPr>
          <w:rFonts w:ascii="Times New Roman" w:hAnsi="Times New Roman"/>
          <w:sz w:val="24"/>
          <w:szCs w:val="24"/>
        </w:rPr>
        <w:t xml:space="preserve">, </w:t>
      </w:r>
      <w:proofErr w:type="spellStart"/>
      <w:r w:rsidRPr="00A7624F">
        <w:rPr>
          <w:rFonts w:ascii="Times New Roman" w:hAnsi="Times New Roman"/>
          <w:sz w:val="24"/>
          <w:szCs w:val="24"/>
        </w:rPr>
        <w:t>Steensma</w:t>
      </w:r>
      <w:proofErr w:type="spellEnd"/>
      <w:r w:rsidRPr="00A7624F">
        <w:rPr>
          <w:rFonts w:ascii="Times New Roman" w:hAnsi="Times New Roman"/>
          <w:sz w:val="24"/>
          <w:szCs w:val="24"/>
        </w:rPr>
        <w:t xml:space="preserve">, &amp; Barden, 2010; </w:t>
      </w:r>
      <w:proofErr w:type="spellStart"/>
      <w:r w:rsidRPr="00A7624F">
        <w:rPr>
          <w:rFonts w:ascii="Times New Roman" w:hAnsi="Times New Roman"/>
          <w:sz w:val="24"/>
          <w:szCs w:val="24"/>
        </w:rPr>
        <w:t>Schildt</w:t>
      </w:r>
      <w:proofErr w:type="spellEnd"/>
      <w:r w:rsidRPr="00A7624F">
        <w:rPr>
          <w:rFonts w:ascii="Times New Roman" w:hAnsi="Times New Roman"/>
          <w:sz w:val="24"/>
          <w:szCs w:val="24"/>
        </w:rPr>
        <w:t xml:space="preserve">, </w:t>
      </w:r>
      <w:proofErr w:type="spellStart"/>
      <w:r w:rsidRPr="00A7624F">
        <w:rPr>
          <w:rFonts w:ascii="Times New Roman" w:hAnsi="Times New Roman"/>
          <w:sz w:val="24"/>
          <w:szCs w:val="24"/>
        </w:rPr>
        <w:t>Maula</w:t>
      </w:r>
      <w:proofErr w:type="spellEnd"/>
      <w:r w:rsidRPr="00A7624F">
        <w:rPr>
          <w:rFonts w:ascii="Times New Roman" w:hAnsi="Times New Roman"/>
          <w:sz w:val="24"/>
          <w:szCs w:val="24"/>
        </w:rPr>
        <w:t xml:space="preserve">, &amp; </w:t>
      </w:r>
      <w:proofErr w:type="spellStart"/>
      <w:r w:rsidRPr="00A7624F">
        <w:rPr>
          <w:rFonts w:ascii="Times New Roman" w:hAnsi="Times New Roman"/>
          <w:sz w:val="24"/>
          <w:szCs w:val="24"/>
        </w:rPr>
        <w:t>Keil</w:t>
      </w:r>
      <w:proofErr w:type="spellEnd"/>
      <w:r w:rsidRPr="00A7624F">
        <w:rPr>
          <w:rFonts w:ascii="Times New Roman" w:hAnsi="Times New Roman"/>
          <w:sz w:val="24"/>
          <w:szCs w:val="24"/>
        </w:rPr>
        <w:t>, 2005</w:t>
      </w:r>
      <w:r w:rsidR="008573DD" w:rsidRPr="00A7624F">
        <w:rPr>
          <w:rFonts w:ascii="Times New Roman" w:hAnsi="Times New Roman"/>
          <w:sz w:val="24"/>
          <w:szCs w:val="24"/>
        </w:rPr>
        <w:t>; Wadhwa et al., 2016</w:t>
      </w:r>
      <w:r w:rsidRPr="00A7624F">
        <w:rPr>
          <w:rFonts w:ascii="Times New Roman" w:hAnsi="Times New Roman"/>
          <w:sz w:val="24"/>
          <w:szCs w:val="24"/>
        </w:rPr>
        <w:t xml:space="preserve">).  </w:t>
      </w:r>
      <w:r w:rsidR="00B42690" w:rsidRPr="00A7624F">
        <w:rPr>
          <w:rFonts w:ascii="Times New Roman" w:hAnsi="Times New Roman"/>
          <w:sz w:val="24"/>
          <w:szCs w:val="24"/>
        </w:rPr>
        <w:t>Management literature, i</w:t>
      </w:r>
      <w:r w:rsidR="00040789" w:rsidRPr="00A7624F">
        <w:rPr>
          <w:rFonts w:ascii="Times New Roman" w:hAnsi="Times New Roman"/>
          <w:sz w:val="24"/>
          <w:szCs w:val="24"/>
        </w:rPr>
        <w:t xml:space="preserve">n general, </w:t>
      </w:r>
      <w:r w:rsidR="00B42690" w:rsidRPr="00A7624F">
        <w:rPr>
          <w:rFonts w:ascii="Times New Roman" w:hAnsi="Times New Roman"/>
          <w:sz w:val="24"/>
          <w:szCs w:val="24"/>
        </w:rPr>
        <w:t xml:space="preserve">view </w:t>
      </w:r>
      <w:r w:rsidR="00040789" w:rsidRPr="00A7624F">
        <w:rPr>
          <w:rFonts w:ascii="Times New Roman" w:hAnsi="Times New Roman"/>
          <w:sz w:val="24"/>
          <w:szCs w:val="24"/>
        </w:rPr>
        <w:t xml:space="preserve">CVC activity as a distinct dimension of corporate entrepreneurship (Zahra, 1995) that could provide corporate investors with a window over </w:t>
      </w:r>
      <w:proofErr w:type="gramStart"/>
      <w:r w:rsidR="00040789" w:rsidRPr="00A7624F">
        <w:rPr>
          <w:rFonts w:ascii="Times New Roman" w:hAnsi="Times New Roman"/>
          <w:sz w:val="24"/>
          <w:szCs w:val="24"/>
        </w:rPr>
        <w:t>new technologies</w:t>
      </w:r>
      <w:proofErr w:type="gramEnd"/>
      <w:r w:rsidR="00040789" w:rsidRPr="00A7624F">
        <w:rPr>
          <w:rFonts w:ascii="Times New Roman" w:hAnsi="Times New Roman"/>
          <w:sz w:val="24"/>
          <w:szCs w:val="24"/>
        </w:rPr>
        <w:t xml:space="preserve"> through equity investments in entrepreneurial companies, which in turn, may stimulate corporate investors’ in-house technological innovation (Chesbrough, 2002; </w:t>
      </w:r>
      <w:proofErr w:type="spellStart"/>
      <w:r w:rsidR="00040789" w:rsidRPr="00A7624F">
        <w:rPr>
          <w:rFonts w:ascii="Times New Roman" w:hAnsi="Times New Roman"/>
          <w:sz w:val="24"/>
          <w:szCs w:val="24"/>
        </w:rPr>
        <w:t>Covin</w:t>
      </w:r>
      <w:proofErr w:type="spellEnd"/>
      <w:r w:rsidR="00040789" w:rsidRPr="00A7624F">
        <w:rPr>
          <w:rFonts w:ascii="Times New Roman" w:hAnsi="Times New Roman"/>
          <w:sz w:val="24"/>
          <w:szCs w:val="24"/>
        </w:rPr>
        <w:t xml:space="preserve"> &amp; Miles,</w:t>
      </w:r>
      <w:r w:rsidR="005A4BE7" w:rsidRPr="00A7624F">
        <w:rPr>
          <w:rFonts w:ascii="Times New Roman" w:hAnsi="Times New Roman"/>
          <w:sz w:val="24"/>
          <w:szCs w:val="24"/>
        </w:rPr>
        <w:t xml:space="preserve"> 1999; </w:t>
      </w:r>
      <w:proofErr w:type="spellStart"/>
      <w:r w:rsidR="005A4BE7" w:rsidRPr="00A7624F">
        <w:rPr>
          <w:rFonts w:ascii="Times New Roman" w:hAnsi="Times New Roman"/>
          <w:sz w:val="24"/>
          <w:szCs w:val="24"/>
        </w:rPr>
        <w:t>Dushnitsky</w:t>
      </w:r>
      <w:proofErr w:type="spellEnd"/>
      <w:r w:rsidR="005A4BE7" w:rsidRPr="00A7624F">
        <w:rPr>
          <w:rFonts w:ascii="Times New Roman" w:hAnsi="Times New Roman"/>
          <w:sz w:val="24"/>
          <w:szCs w:val="24"/>
        </w:rPr>
        <w:t xml:space="preserve"> &amp; Lenox, 2005</w:t>
      </w:r>
      <w:r w:rsidR="00040789" w:rsidRPr="00A7624F">
        <w:rPr>
          <w:rFonts w:ascii="Times New Roman" w:hAnsi="Times New Roman"/>
          <w:sz w:val="24"/>
          <w:szCs w:val="24"/>
        </w:rPr>
        <w:t xml:space="preserve">; </w:t>
      </w:r>
      <w:proofErr w:type="spellStart"/>
      <w:r w:rsidR="00040789" w:rsidRPr="00A7624F">
        <w:rPr>
          <w:rFonts w:ascii="Times New Roman" w:hAnsi="Times New Roman"/>
          <w:sz w:val="24"/>
          <w:szCs w:val="24"/>
        </w:rPr>
        <w:t>Sahaym</w:t>
      </w:r>
      <w:proofErr w:type="spellEnd"/>
      <w:r w:rsidR="00040789" w:rsidRPr="00A7624F">
        <w:rPr>
          <w:rFonts w:ascii="Times New Roman" w:hAnsi="Times New Roman"/>
          <w:sz w:val="24"/>
          <w:szCs w:val="24"/>
        </w:rPr>
        <w:t xml:space="preserve">, et al., 2010; </w:t>
      </w:r>
      <w:proofErr w:type="spellStart"/>
      <w:r w:rsidR="00040789" w:rsidRPr="00A7624F">
        <w:rPr>
          <w:rFonts w:ascii="Times New Roman" w:hAnsi="Times New Roman"/>
          <w:sz w:val="24"/>
          <w:szCs w:val="24"/>
        </w:rPr>
        <w:t>Schildt</w:t>
      </w:r>
      <w:proofErr w:type="spellEnd"/>
      <w:r w:rsidR="00040789" w:rsidRPr="00A7624F">
        <w:rPr>
          <w:rFonts w:ascii="Times New Roman" w:hAnsi="Times New Roman"/>
          <w:sz w:val="24"/>
          <w:szCs w:val="24"/>
        </w:rPr>
        <w:t xml:space="preserve">, et al., 2005).  </w:t>
      </w:r>
      <w:r w:rsidRPr="00A7624F">
        <w:rPr>
          <w:rFonts w:ascii="Times New Roman" w:hAnsi="Times New Roman"/>
          <w:sz w:val="24"/>
          <w:szCs w:val="24"/>
        </w:rPr>
        <w:t>In addition, CVC activities may leverage the corporate investors’ existing technologies by stimulating demand and/or promoting the formation of de facto standards (</w:t>
      </w:r>
      <w:proofErr w:type="spellStart"/>
      <w:r w:rsidRPr="00A7624F">
        <w:rPr>
          <w:rFonts w:ascii="Times New Roman" w:hAnsi="Times New Roman"/>
          <w:sz w:val="24"/>
          <w:szCs w:val="24"/>
        </w:rPr>
        <w:t>Keil</w:t>
      </w:r>
      <w:proofErr w:type="spellEnd"/>
      <w:r w:rsidRPr="00A7624F">
        <w:rPr>
          <w:rFonts w:ascii="Times New Roman" w:hAnsi="Times New Roman"/>
          <w:sz w:val="24"/>
          <w:szCs w:val="24"/>
        </w:rPr>
        <w:t xml:space="preserve">, 2000).  The strategic </w:t>
      </w:r>
      <w:r w:rsidRPr="00A7624F">
        <w:rPr>
          <w:rFonts w:ascii="Times New Roman" w:hAnsi="Times New Roman"/>
          <w:sz w:val="24"/>
          <w:szCs w:val="24"/>
        </w:rPr>
        <w:lastRenderedPageBreak/>
        <w:t>benefits of CVC activity imply that such investments would generate growth options for the corporate investors (</w:t>
      </w:r>
      <w:r w:rsidR="0088236F" w:rsidRPr="00A7624F">
        <w:rPr>
          <w:rFonts w:ascii="Times New Roman" w:hAnsi="Times New Roman"/>
          <w:sz w:val="24"/>
          <w:szCs w:val="24"/>
        </w:rPr>
        <w:t xml:space="preserve">Hurry, et al., 1992; </w:t>
      </w:r>
      <w:r w:rsidR="00040789" w:rsidRPr="00A7624F">
        <w:rPr>
          <w:rFonts w:ascii="Times New Roman" w:hAnsi="Times New Roman"/>
          <w:sz w:val="24"/>
          <w:szCs w:val="24"/>
        </w:rPr>
        <w:t>Yang, et al., 2014)</w:t>
      </w:r>
      <w:r w:rsidRPr="00A7624F">
        <w:rPr>
          <w:rFonts w:ascii="Times New Roman" w:hAnsi="Times New Roman"/>
          <w:sz w:val="24"/>
          <w:szCs w:val="24"/>
        </w:rPr>
        <w:t xml:space="preserve">.  For example, corporations can use CVC investments to build options to acquire portfolio companies if their technologies are proved strategically valuable.  In principle, such toehold position will offer corporate investors an access to knowledge of their portfolio companies, and help them reduce asymmetric information and mitigate the “winner’s curse” of overpayment in the subsequent acquisition events (Thaler, 1988).  However, the evidence from the finance literature is the opposite.  Benson and </w:t>
      </w:r>
      <w:proofErr w:type="spellStart"/>
      <w:r w:rsidRPr="00A7624F">
        <w:rPr>
          <w:rFonts w:ascii="Times New Roman" w:hAnsi="Times New Roman"/>
          <w:sz w:val="24"/>
          <w:szCs w:val="24"/>
        </w:rPr>
        <w:t>Ziedonis</w:t>
      </w:r>
      <w:proofErr w:type="spellEnd"/>
      <w:r w:rsidRPr="00A7624F">
        <w:rPr>
          <w:rFonts w:ascii="Times New Roman" w:hAnsi="Times New Roman"/>
          <w:sz w:val="24"/>
          <w:szCs w:val="24"/>
        </w:rPr>
        <w:t xml:space="preserve"> (2010) find that takeovers of portfolio companies generate negative abnormal returns to shareholders of acquisitive corporate investors while the same acquirers typically earn positive abnormal returns when acquiring non-portfolio entrepreneurial companies.  </w:t>
      </w:r>
    </w:p>
    <w:p w:rsidR="00D41979" w:rsidRPr="00A7624F" w:rsidRDefault="00043B22" w:rsidP="0092044C">
      <w:pPr>
        <w:tabs>
          <w:tab w:val="num" w:pos="1440"/>
          <w:tab w:val="left" w:pos="6318"/>
        </w:tabs>
        <w:autoSpaceDE w:val="0"/>
        <w:autoSpaceDN w:val="0"/>
        <w:adjustRightInd w:val="0"/>
        <w:spacing w:after="0" w:line="480" w:lineRule="auto"/>
        <w:ind w:firstLineChars="300" w:firstLine="720"/>
        <w:rPr>
          <w:rFonts w:ascii="Times New Roman" w:hAnsi="Times New Roman"/>
          <w:sz w:val="24"/>
          <w:szCs w:val="24"/>
        </w:rPr>
      </w:pPr>
      <w:r w:rsidRPr="00A7624F">
        <w:rPr>
          <w:rFonts w:ascii="Times New Roman" w:hAnsi="Times New Roman"/>
          <w:sz w:val="24"/>
          <w:szCs w:val="24"/>
        </w:rPr>
        <w:t>In addition, statistics has shown that m</w:t>
      </w:r>
      <w:r w:rsidR="00D41979" w:rsidRPr="00A7624F">
        <w:rPr>
          <w:rFonts w:ascii="Times New Roman" w:hAnsi="Times New Roman"/>
          <w:sz w:val="24"/>
          <w:szCs w:val="24"/>
        </w:rPr>
        <w:t>ore than often, portfolio companies are acquired by non-investors, rather than their CVC investors</w:t>
      </w:r>
      <w:r w:rsidRPr="00A7624F">
        <w:rPr>
          <w:rStyle w:val="FootnoteReference"/>
          <w:rFonts w:ascii="Times New Roman" w:hAnsi="Times New Roman"/>
          <w:sz w:val="24"/>
          <w:szCs w:val="24"/>
        </w:rPr>
        <w:footnoteReference w:id="2"/>
      </w:r>
      <w:r w:rsidR="00D41979" w:rsidRPr="00A7624F">
        <w:rPr>
          <w:rFonts w:ascii="Times New Roman" w:hAnsi="Times New Roman"/>
          <w:sz w:val="24"/>
          <w:szCs w:val="24"/>
        </w:rPr>
        <w:t xml:space="preserve">.  On one hand, acquisitions </w:t>
      </w:r>
      <w:r w:rsidRPr="00A7624F">
        <w:rPr>
          <w:rFonts w:ascii="Times New Roman" w:hAnsi="Times New Roman"/>
          <w:sz w:val="24"/>
          <w:szCs w:val="24"/>
        </w:rPr>
        <w:t xml:space="preserve">by third-party acquirers </w:t>
      </w:r>
      <w:r w:rsidR="00D41979" w:rsidRPr="00A7624F">
        <w:rPr>
          <w:rFonts w:ascii="Times New Roman" w:hAnsi="Times New Roman"/>
          <w:sz w:val="24"/>
          <w:szCs w:val="24"/>
        </w:rPr>
        <w:t xml:space="preserve">may take place </w:t>
      </w:r>
      <w:r w:rsidRPr="00A7624F">
        <w:rPr>
          <w:rFonts w:ascii="Times New Roman" w:hAnsi="Times New Roman"/>
          <w:sz w:val="24"/>
          <w:szCs w:val="24"/>
        </w:rPr>
        <w:t>when</w:t>
      </w:r>
      <w:r w:rsidR="00D41979" w:rsidRPr="00A7624F">
        <w:rPr>
          <w:rFonts w:ascii="Times New Roman" w:hAnsi="Times New Roman"/>
          <w:sz w:val="24"/>
          <w:szCs w:val="24"/>
        </w:rPr>
        <w:t xml:space="preserve"> CVC investors have proved through their toehold positions that </w:t>
      </w:r>
      <w:proofErr w:type="gramStart"/>
      <w:r w:rsidR="00D41979" w:rsidRPr="00A7624F">
        <w:rPr>
          <w:rFonts w:ascii="Times New Roman" w:hAnsi="Times New Roman"/>
          <w:sz w:val="24"/>
          <w:szCs w:val="24"/>
        </w:rPr>
        <w:t>new technologies</w:t>
      </w:r>
      <w:proofErr w:type="gramEnd"/>
      <w:r w:rsidR="00D41979" w:rsidRPr="00A7624F">
        <w:rPr>
          <w:rFonts w:ascii="Times New Roman" w:hAnsi="Times New Roman"/>
          <w:sz w:val="24"/>
          <w:szCs w:val="24"/>
        </w:rPr>
        <w:t xml:space="preserve">/products developed by the portfolio companies are not strategically important and then decide to abandon the option of acquisition.  In this case, they would like to obtain financial returns from selling equity ownership to a third party.  On the other hand, acquisitions of portfolio companies by non-investors may be a result of CVC investors’ failure to exercise their option to acquire.  CVC investors may lose the bidding war when there are multiple bidders. Or they may fail to recognize the strategic importance of the portfolio company and make the wrong decision to abandon the option to acquire.  In either of these cases, giving up the option to acquire portfolio companies that corporate investors should have acquired presents a strategic loss to the latter. Sometimes, it may even make CVC investors disadvantaged in the competition when portfolio companies are acquired by their major competitors. </w:t>
      </w:r>
    </w:p>
    <w:p w:rsidR="00D41979" w:rsidRPr="00A7624F" w:rsidRDefault="00123CAF" w:rsidP="00E21D88">
      <w:pPr>
        <w:tabs>
          <w:tab w:val="num" w:pos="1440"/>
        </w:tabs>
        <w:autoSpaceDE w:val="0"/>
        <w:autoSpaceDN w:val="0"/>
        <w:adjustRightInd w:val="0"/>
        <w:spacing w:after="0" w:line="480" w:lineRule="auto"/>
        <w:ind w:firstLineChars="300" w:firstLine="720"/>
        <w:rPr>
          <w:rFonts w:ascii="Times New Roman" w:hAnsi="Times New Roman"/>
          <w:sz w:val="24"/>
          <w:szCs w:val="24"/>
        </w:rPr>
      </w:pPr>
      <w:r w:rsidRPr="00A7624F">
        <w:rPr>
          <w:rFonts w:ascii="Times New Roman" w:hAnsi="Times New Roman"/>
          <w:sz w:val="24"/>
          <w:szCs w:val="24"/>
        </w:rPr>
        <w:lastRenderedPageBreak/>
        <w:t xml:space="preserve">Thus, it is necessary to further investigate </w:t>
      </w:r>
      <w:r w:rsidR="0088236F" w:rsidRPr="00A7624F">
        <w:rPr>
          <w:rFonts w:ascii="Times New Roman" w:hAnsi="Times New Roman"/>
          <w:sz w:val="24"/>
          <w:szCs w:val="24"/>
        </w:rPr>
        <w:t xml:space="preserve">how corporate investors should exercise or abandon </w:t>
      </w:r>
      <w:r w:rsidRPr="00A7624F">
        <w:rPr>
          <w:rFonts w:ascii="Times New Roman" w:hAnsi="Times New Roman"/>
          <w:sz w:val="24"/>
          <w:szCs w:val="24"/>
        </w:rPr>
        <w:t xml:space="preserve">the options to acquire their portfolio companies </w:t>
      </w:r>
      <w:r w:rsidR="0088236F" w:rsidRPr="00A7624F">
        <w:rPr>
          <w:rFonts w:ascii="Times New Roman" w:hAnsi="Times New Roman"/>
          <w:sz w:val="24"/>
          <w:szCs w:val="24"/>
        </w:rPr>
        <w:t xml:space="preserve">so that they could fully utilize desired strategic benefits.  </w:t>
      </w:r>
      <w:r w:rsidRPr="00A7624F">
        <w:rPr>
          <w:rFonts w:ascii="Times New Roman" w:hAnsi="Times New Roman"/>
          <w:sz w:val="24"/>
          <w:szCs w:val="24"/>
        </w:rPr>
        <w:t>To investigate the research question</w:t>
      </w:r>
      <w:r w:rsidR="00D41979" w:rsidRPr="00A7624F">
        <w:rPr>
          <w:rFonts w:ascii="Times New Roman" w:hAnsi="Times New Roman"/>
          <w:sz w:val="24"/>
          <w:szCs w:val="24"/>
        </w:rPr>
        <w:t xml:space="preserve">, we compile a sample of </w:t>
      </w:r>
      <w:r w:rsidRPr="00A7624F">
        <w:rPr>
          <w:rFonts w:ascii="Times New Roman" w:hAnsi="Times New Roman"/>
          <w:sz w:val="24"/>
          <w:szCs w:val="24"/>
        </w:rPr>
        <w:t xml:space="preserve">1,375 </w:t>
      </w:r>
      <w:r w:rsidR="00D41979" w:rsidRPr="00A7624F">
        <w:rPr>
          <w:rFonts w:ascii="Times New Roman" w:hAnsi="Times New Roman"/>
          <w:sz w:val="24"/>
          <w:szCs w:val="24"/>
        </w:rPr>
        <w:t xml:space="preserve">acquisitions of CVC portfolio companies </w:t>
      </w:r>
      <w:r w:rsidRPr="00A7624F">
        <w:rPr>
          <w:rFonts w:ascii="Times New Roman" w:hAnsi="Times New Roman"/>
          <w:sz w:val="24"/>
          <w:szCs w:val="24"/>
        </w:rPr>
        <w:t xml:space="preserve">(private companies) </w:t>
      </w:r>
      <w:r w:rsidR="00D41979" w:rsidRPr="00A7624F">
        <w:rPr>
          <w:rFonts w:ascii="Times New Roman" w:hAnsi="Times New Roman"/>
          <w:sz w:val="24"/>
          <w:szCs w:val="24"/>
        </w:rPr>
        <w:t xml:space="preserve">by US public acquirers during 1980-2014 based on multiple data sources including </w:t>
      </w:r>
      <w:proofErr w:type="spellStart"/>
      <w:r w:rsidR="00D41979" w:rsidRPr="00A7624F">
        <w:rPr>
          <w:rFonts w:ascii="Times New Roman" w:hAnsi="Times New Roman"/>
          <w:sz w:val="24"/>
          <w:szCs w:val="24"/>
        </w:rPr>
        <w:t>VentureXpert</w:t>
      </w:r>
      <w:proofErr w:type="spellEnd"/>
      <w:r w:rsidR="00D41979" w:rsidRPr="00A7624F">
        <w:rPr>
          <w:rFonts w:ascii="Times New Roman" w:hAnsi="Times New Roman"/>
          <w:sz w:val="24"/>
          <w:szCs w:val="24"/>
        </w:rPr>
        <w:t xml:space="preserve">, SDC M&amp;A, </w:t>
      </w:r>
      <w:proofErr w:type="spellStart"/>
      <w:r w:rsidR="00D41979" w:rsidRPr="00A7624F">
        <w:rPr>
          <w:rFonts w:ascii="Times New Roman" w:hAnsi="Times New Roman"/>
          <w:sz w:val="24"/>
          <w:szCs w:val="24"/>
        </w:rPr>
        <w:t>Compustat</w:t>
      </w:r>
      <w:proofErr w:type="spellEnd"/>
      <w:r w:rsidR="00D41979" w:rsidRPr="00A7624F">
        <w:rPr>
          <w:rFonts w:ascii="Times New Roman" w:hAnsi="Times New Roman"/>
          <w:sz w:val="24"/>
          <w:szCs w:val="24"/>
        </w:rPr>
        <w:t xml:space="preserve"> and </w:t>
      </w:r>
      <w:r w:rsidR="00F7746D" w:rsidRPr="00A7624F">
        <w:rPr>
          <w:rFonts w:ascii="Times New Roman" w:hAnsi="Times New Roman"/>
          <w:sz w:val="24"/>
          <w:szCs w:val="24"/>
        </w:rPr>
        <w:t xml:space="preserve">Lexus Nexus </w:t>
      </w:r>
      <w:r w:rsidR="00D41979" w:rsidRPr="00A7624F">
        <w:rPr>
          <w:rFonts w:ascii="Times New Roman" w:hAnsi="Times New Roman"/>
          <w:sz w:val="24"/>
          <w:szCs w:val="24"/>
        </w:rPr>
        <w:t>new</w:t>
      </w:r>
      <w:r w:rsidRPr="00A7624F">
        <w:rPr>
          <w:rFonts w:ascii="Times New Roman" w:hAnsi="Times New Roman"/>
          <w:sz w:val="24"/>
          <w:szCs w:val="24"/>
        </w:rPr>
        <w:t>s search.  Of the acquirers, 131</w:t>
      </w:r>
      <w:r w:rsidR="00D41979" w:rsidRPr="00A7624F">
        <w:rPr>
          <w:rFonts w:ascii="Times New Roman" w:hAnsi="Times New Roman"/>
          <w:sz w:val="24"/>
          <w:szCs w:val="24"/>
        </w:rPr>
        <w:t xml:space="preserve"> (</w:t>
      </w:r>
      <w:r w:rsidRPr="00A7624F">
        <w:rPr>
          <w:rFonts w:ascii="Times New Roman" w:hAnsi="Times New Roman"/>
          <w:sz w:val="24"/>
          <w:szCs w:val="24"/>
        </w:rPr>
        <w:t xml:space="preserve">9.5 </w:t>
      </w:r>
      <w:r w:rsidR="00D41979" w:rsidRPr="00A7624F">
        <w:rPr>
          <w:rFonts w:ascii="Times New Roman" w:hAnsi="Times New Roman"/>
          <w:sz w:val="24"/>
          <w:szCs w:val="24"/>
        </w:rPr>
        <w:t xml:space="preserve">%) are original CVC investors while </w:t>
      </w:r>
      <w:r w:rsidRPr="00A7624F">
        <w:rPr>
          <w:rFonts w:ascii="Times New Roman" w:hAnsi="Times New Roman"/>
          <w:sz w:val="24"/>
          <w:szCs w:val="24"/>
        </w:rPr>
        <w:t>1,244 (90.5</w:t>
      </w:r>
      <w:r w:rsidR="00D41979" w:rsidRPr="00A7624F">
        <w:rPr>
          <w:rFonts w:ascii="Times New Roman" w:hAnsi="Times New Roman"/>
          <w:sz w:val="24"/>
          <w:szCs w:val="24"/>
        </w:rPr>
        <w:t xml:space="preserve">%) are non-investor acquirers.  </w:t>
      </w:r>
      <w:r w:rsidR="004763E7" w:rsidRPr="00A7624F">
        <w:rPr>
          <w:rFonts w:ascii="Times New Roman" w:hAnsi="Times New Roman"/>
          <w:sz w:val="24"/>
          <w:szCs w:val="24"/>
        </w:rPr>
        <w:t>We find that the market in general reacts more po</w:t>
      </w:r>
      <w:r w:rsidR="00E21D88" w:rsidRPr="00A7624F">
        <w:rPr>
          <w:rFonts w:ascii="Times New Roman" w:hAnsi="Times New Roman"/>
          <w:sz w:val="24"/>
          <w:szCs w:val="24"/>
        </w:rPr>
        <w:t xml:space="preserve">sitively to CVC acquisitions by third-party acquirers than by CVC investors.  We then investigate the impacts of acquirer’s in-house R&amp;D on market reactions.  The findings suggest that such impacts differ between CVC investor acquirers and third-party acquirers.  Furthermore, the impacts are also moderated by CVC investor’s major investor status </w:t>
      </w:r>
      <w:proofErr w:type="gramStart"/>
      <w:r w:rsidR="00E21D88" w:rsidRPr="00A7624F">
        <w:rPr>
          <w:rFonts w:ascii="Times New Roman" w:hAnsi="Times New Roman"/>
          <w:sz w:val="24"/>
          <w:szCs w:val="24"/>
        </w:rPr>
        <w:t>pre acquisitions</w:t>
      </w:r>
      <w:proofErr w:type="gramEnd"/>
      <w:r w:rsidR="00E21D88" w:rsidRPr="00A7624F">
        <w:rPr>
          <w:rFonts w:ascii="Times New Roman" w:hAnsi="Times New Roman"/>
          <w:sz w:val="24"/>
          <w:szCs w:val="24"/>
        </w:rPr>
        <w:t xml:space="preserve">. </w:t>
      </w:r>
    </w:p>
    <w:p w:rsidR="00D41979" w:rsidRPr="00A7624F" w:rsidRDefault="00D41979" w:rsidP="00E21D88">
      <w:pPr>
        <w:tabs>
          <w:tab w:val="num" w:pos="1440"/>
        </w:tabs>
        <w:autoSpaceDE w:val="0"/>
        <w:autoSpaceDN w:val="0"/>
        <w:adjustRightInd w:val="0"/>
        <w:spacing w:after="0" w:line="480" w:lineRule="auto"/>
        <w:ind w:firstLineChars="300" w:firstLine="720"/>
        <w:rPr>
          <w:rFonts w:ascii="Times New Roman" w:hAnsi="Times New Roman"/>
          <w:sz w:val="24"/>
          <w:szCs w:val="24"/>
        </w:rPr>
      </w:pPr>
      <w:r w:rsidRPr="00A7624F">
        <w:rPr>
          <w:rFonts w:ascii="Times New Roman" w:hAnsi="Times New Roman"/>
          <w:sz w:val="24"/>
          <w:szCs w:val="24"/>
        </w:rPr>
        <w:t xml:space="preserve">This paper makes primary contributions to the emerging body of research on CVC acquisitions.  Prior studies, except for Benson and </w:t>
      </w:r>
      <w:proofErr w:type="spellStart"/>
      <w:r w:rsidRPr="00A7624F">
        <w:rPr>
          <w:rFonts w:ascii="Times New Roman" w:hAnsi="Times New Roman"/>
          <w:sz w:val="24"/>
          <w:szCs w:val="24"/>
        </w:rPr>
        <w:t>Ziedonis</w:t>
      </w:r>
      <w:proofErr w:type="spellEnd"/>
      <w:r w:rsidRPr="00A7624F">
        <w:rPr>
          <w:rFonts w:ascii="Times New Roman" w:hAnsi="Times New Roman"/>
          <w:sz w:val="24"/>
          <w:szCs w:val="24"/>
        </w:rPr>
        <w:t xml:space="preserve"> (2010), largely view acquisitions of portfolio companies as exit strategies that could generate financial returns to corporate investors (Yang, </w:t>
      </w:r>
      <w:r w:rsidR="005A4BE7" w:rsidRPr="00A7624F">
        <w:rPr>
          <w:rFonts w:ascii="Times New Roman" w:hAnsi="Times New Roman"/>
          <w:sz w:val="24"/>
          <w:szCs w:val="24"/>
        </w:rPr>
        <w:t>at al</w:t>
      </w:r>
      <w:r w:rsidRPr="00A7624F">
        <w:rPr>
          <w:rFonts w:ascii="Times New Roman" w:hAnsi="Times New Roman"/>
          <w:sz w:val="24"/>
          <w:szCs w:val="24"/>
        </w:rPr>
        <w:t xml:space="preserve">., 2009), and pay less attention to the potential strategic impacts associated with portfolio company takeover events.  Consistent with Benson and </w:t>
      </w:r>
      <w:proofErr w:type="spellStart"/>
      <w:r w:rsidRPr="00A7624F">
        <w:rPr>
          <w:rFonts w:ascii="Times New Roman" w:hAnsi="Times New Roman"/>
          <w:sz w:val="24"/>
          <w:szCs w:val="24"/>
        </w:rPr>
        <w:t>Ziedonis</w:t>
      </w:r>
      <w:proofErr w:type="spellEnd"/>
      <w:r w:rsidRPr="00A7624F">
        <w:rPr>
          <w:rFonts w:ascii="Times New Roman" w:hAnsi="Times New Roman"/>
          <w:sz w:val="24"/>
          <w:szCs w:val="24"/>
        </w:rPr>
        <w:t xml:space="preserve"> (2010)</w:t>
      </w:r>
      <w:r w:rsidR="00864455" w:rsidRPr="00A7624F">
        <w:rPr>
          <w:rFonts w:ascii="Times New Roman" w:hAnsi="Times New Roman"/>
          <w:sz w:val="24"/>
          <w:szCs w:val="24"/>
        </w:rPr>
        <w:t xml:space="preserve"> who find market reactions are more positive </w:t>
      </w:r>
      <w:proofErr w:type="gramStart"/>
      <w:r w:rsidR="00864455" w:rsidRPr="00A7624F">
        <w:rPr>
          <w:rFonts w:ascii="Times New Roman" w:hAnsi="Times New Roman"/>
          <w:sz w:val="24"/>
          <w:szCs w:val="24"/>
        </w:rPr>
        <w:t>to  CVC</w:t>
      </w:r>
      <w:proofErr w:type="gramEnd"/>
      <w:r w:rsidR="00864455" w:rsidRPr="00A7624F">
        <w:rPr>
          <w:rFonts w:ascii="Times New Roman" w:hAnsi="Times New Roman"/>
          <w:sz w:val="24"/>
          <w:szCs w:val="24"/>
        </w:rPr>
        <w:t xml:space="preserve"> investors’ non-CVC acquisitions than their CVC acquisitions</w:t>
      </w:r>
      <w:r w:rsidRPr="00A7624F">
        <w:rPr>
          <w:rFonts w:ascii="Times New Roman" w:hAnsi="Times New Roman"/>
          <w:sz w:val="24"/>
          <w:szCs w:val="24"/>
        </w:rPr>
        <w:t xml:space="preserve">, our study finds out that </w:t>
      </w:r>
      <w:r w:rsidR="00E21D88" w:rsidRPr="00A7624F">
        <w:rPr>
          <w:rFonts w:ascii="Times New Roman" w:hAnsi="Times New Roman"/>
          <w:sz w:val="24"/>
          <w:szCs w:val="24"/>
        </w:rPr>
        <w:t>the market seems to welcome CVC acquisitions by third-party acquirers rather than CVC investors themselves, which suggest reevaluating such acquisition events from both finan</w:t>
      </w:r>
      <w:r w:rsidR="00C412E5" w:rsidRPr="00A7624F">
        <w:rPr>
          <w:rFonts w:ascii="Times New Roman" w:hAnsi="Times New Roman"/>
          <w:sz w:val="24"/>
          <w:szCs w:val="24"/>
        </w:rPr>
        <w:t xml:space="preserve">cial and strategic perspectives under different conditions.  Our empirical results provide evidence that under different </w:t>
      </w:r>
      <w:proofErr w:type="gramStart"/>
      <w:r w:rsidR="00C412E5" w:rsidRPr="00A7624F">
        <w:rPr>
          <w:rFonts w:ascii="Times New Roman" w:hAnsi="Times New Roman"/>
          <w:sz w:val="24"/>
          <w:szCs w:val="24"/>
        </w:rPr>
        <w:t>pre acquisitions</w:t>
      </w:r>
      <w:proofErr w:type="gramEnd"/>
      <w:r w:rsidR="00C412E5" w:rsidRPr="00A7624F">
        <w:rPr>
          <w:rFonts w:ascii="Times New Roman" w:hAnsi="Times New Roman"/>
          <w:sz w:val="24"/>
          <w:szCs w:val="24"/>
        </w:rPr>
        <w:t xml:space="preserve"> conditions—acquirer’s in-house R&amp;D level and CVC major investor status, market reactions vary.  </w:t>
      </w:r>
    </w:p>
    <w:p w:rsidR="00D41979" w:rsidRPr="00A7624F" w:rsidRDefault="00D41979" w:rsidP="0092044C">
      <w:pPr>
        <w:tabs>
          <w:tab w:val="num" w:pos="1440"/>
          <w:tab w:val="left" w:pos="4359"/>
        </w:tabs>
        <w:autoSpaceDE w:val="0"/>
        <w:autoSpaceDN w:val="0"/>
        <w:adjustRightInd w:val="0"/>
        <w:spacing w:after="0" w:line="480" w:lineRule="auto"/>
        <w:ind w:firstLineChars="300" w:firstLine="720"/>
        <w:rPr>
          <w:rFonts w:ascii="Times New Roman" w:eastAsia="Times New Roman" w:hAnsi="Times New Roman"/>
          <w:color w:val="000000"/>
          <w:sz w:val="24"/>
          <w:szCs w:val="24"/>
        </w:rPr>
      </w:pPr>
      <w:r w:rsidRPr="00A7624F">
        <w:rPr>
          <w:rFonts w:ascii="Times New Roman" w:hAnsi="Times New Roman"/>
          <w:sz w:val="24"/>
          <w:szCs w:val="24"/>
        </w:rPr>
        <w:lastRenderedPageBreak/>
        <w:t xml:space="preserve">In the following section, we first provide an overview of CVC activity in the past decades and briefly discuss the literature of CVC investments.  Furthermore, we elaborate the proposed relationships between corporate investors’ minor investor status and the market reactions to acquisitions of their portfolio companies.  Next, we describe our research methodology, including data sources, measures, and analysis.  In the </w:t>
      </w:r>
      <w:proofErr w:type="gramStart"/>
      <w:r w:rsidRPr="00A7624F">
        <w:rPr>
          <w:rFonts w:ascii="Times New Roman" w:hAnsi="Times New Roman"/>
          <w:sz w:val="24"/>
          <w:szCs w:val="24"/>
        </w:rPr>
        <w:t>final section</w:t>
      </w:r>
      <w:proofErr w:type="gramEnd"/>
      <w:r w:rsidRPr="00A7624F">
        <w:rPr>
          <w:rFonts w:ascii="Times New Roman" w:hAnsi="Times New Roman"/>
          <w:sz w:val="24"/>
          <w:szCs w:val="24"/>
        </w:rPr>
        <w:t>, we summarize our results and conclude with the major findings and potential managerial implications.</w:t>
      </w:r>
    </w:p>
    <w:p w:rsidR="00BB2217" w:rsidRPr="00A7624F" w:rsidRDefault="001C5235" w:rsidP="00BB2217">
      <w:pPr>
        <w:pStyle w:val="NoSpacing"/>
        <w:tabs>
          <w:tab w:val="left" w:pos="6110"/>
        </w:tabs>
        <w:spacing w:line="480" w:lineRule="auto"/>
        <w:jc w:val="center"/>
        <w:rPr>
          <w:rFonts w:ascii="Times New Roman" w:hAnsi="Times New Roman"/>
          <w:b/>
          <w:sz w:val="24"/>
          <w:szCs w:val="24"/>
        </w:rPr>
      </w:pPr>
      <w:r w:rsidRPr="00A7624F">
        <w:rPr>
          <w:rFonts w:ascii="Times New Roman" w:hAnsi="Times New Roman"/>
          <w:b/>
          <w:sz w:val="24"/>
          <w:szCs w:val="24"/>
        </w:rPr>
        <w:t xml:space="preserve">THEORY AND </w:t>
      </w:r>
      <w:r w:rsidR="00BB2217" w:rsidRPr="00A7624F">
        <w:rPr>
          <w:rFonts w:ascii="Times New Roman" w:hAnsi="Times New Roman"/>
          <w:b/>
          <w:sz w:val="24"/>
          <w:szCs w:val="24"/>
        </w:rPr>
        <w:t xml:space="preserve">HYPOTHESES </w:t>
      </w:r>
    </w:p>
    <w:p w:rsidR="00664DEA" w:rsidRPr="00A7624F" w:rsidRDefault="00664DEA" w:rsidP="00664DEA">
      <w:pPr>
        <w:tabs>
          <w:tab w:val="num" w:pos="1440"/>
        </w:tabs>
        <w:autoSpaceDE w:val="0"/>
        <w:autoSpaceDN w:val="0"/>
        <w:adjustRightInd w:val="0"/>
        <w:spacing w:after="0" w:line="480" w:lineRule="auto"/>
        <w:ind w:firstLineChars="300" w:firstLine="720"/>
        <w:rPr>
          <w:rFonts w:ascii="Times New Roman" w:hAnsi="Times New Roman"/>
          <w:sz w:val="24"/>
          <w:szCs w:val="24"/>
        </w:rPr>
      </w:pPr>
      <w:r w:rsidRPr="00A7624F">
        <w:rPr>
          <w:rFonts w:ascii="Times New Roman" w:hAnsi="Times New Roman"/>
          <w:sz w:val="24"/>
          <w:szCs w:val="24"/>
        </w:rPr>
        <w:t>Both academic research and industry surveys indicate that CVC investments pursue strategic objectives as well as financial returns for the corporate investors (</w:t>
      </w:r>
      <w:r w:rsidRPr="00A7624F">
        <w:rPr>
          <w:rFonts w:ascii="Times New Roman" w:hAnsi="Times New Roman"/>
          <w:i/>
          <w:sz w:val="24"/>
          <w:szCs w:val="24"/>
        </w:rPr>
        <w:t>e.g</w:t>
      </w:r>
      <w:r w:rsidRPr="00A7624F">
        <w:rPr>
          <w:rFonts w:ascii="Times New Roman" w:hAnsi="Times New Roman"/>
          <w:sz w:val="24"/>
          <w:szCs w:val="24"/>
        </w:rPr>
        <w:t xml:space="preserve">., Block &amp; MacMillan, 1993).  In general, extant studies in management regard CVC as one manifestation of corporate entrepreneurship (Zahra, 1995) that helps companies to rejuvenate or redefine organizations, markets, or industries </w:t>
      </w:r>
      <w:proofErr w:type="gramStart"/>
      <w:r w:rsidRPr="00A7624F">
        <w:rPr>
          <w:rFonts w:ascii="Times New Roman" w:hAnsi="Times New Roman"/>
          <w:sz w:val="24"/>
          <w:szCs w:val="24"/>
        </w:rPr>
        <w:t>for the purpose of</w:t>
      </w:r>
      <w:proofErr w:type="gramEnd"/>
      <w:r w:rsidRPr="00A7624F">
        <w:rPr>
          <w:rFonts w:ascii="Times New Roman" w:hAnsi="Times New Roman"/>
          <w:sz w:val="24"/>
          <w:szCs w:val="24"/>
        </w:rPr>
        <w:t xml:space="preserve"> creating or sustaining competitive advantages (</w:t>
      </w:r>
      <w:proofErr w:type="spellStart"/>
      <w:r w:rsidRPr="00A7624F">
        <w:rPr>
          <w:rFonts w:ascii="Times New Roman" w:hAnsi="Times New Roman"/>
          <w:sz w:val="24"/>
          <w:szCs w:val="24"/>
        </w:rPr>
        <w:t>Covin</w:t>
      </w:r>
      <w:proofErr w:type="spellEnd"/>
      <w:r w:rsidRPr="00A7624F">
        <w:rPr>
          <w:rFonts w:ascii="Times New Roman" w:hAnsi="Times New Roman"/>
          <w:sz w:val="24"/>
          <w:szCs w:val="24"/>
        </w:rPr>
        <w:t xml:space="preserve"> &amp; Miles, 1999).  In particular, CVC activities are viewed as an effective means that can help to update corporate investors’ knowledge base, stimulate technology innovation, help identify technological discontinuity, increase technological diversification, and eventually create values (e.g. </w:t>
      </w:r>
      <w:hyperlink w:anchor="_ENREF_1" w:tooltip="Asel, 2015 #21" w:history="1">
        <w:r w:rsidRPr="00A7624F">
          <w:rPr>
            <w:rFonts w:ascii="Times New Roman" w:hAnsi="Times New Roman"/>
            <w:noProof/>
            <w:sz w:val="24"/>
            <w:szCs w:val="24"/>
          </w:rPr>
          <w:t xml:space="preserve">Asel, </w:t>
        </w:r>
        <w:r w:rsidR="005A4BE7" w:rsidRPr="00A7624F">
          <w:rPr>
            <w:rFonts w:ascii="Times New Roman" w:hAnsi="Times New Roman"/>
            <w:noProof/>
            <w:sz w:val="24"/>
            <w:szCs w:val="24"/>
          </w:rPr>
          <w:t>at al</w:t>
        </w:r>
        <w:r w:rsidRPr="00A7624F">
          <w:rPr>
            <w:rFonts w:ascii="Times New Roman" w:hAnsi="Times New Roman"/>
            <w:noProof/>
            <w:sz w:val="24"/>
            <w:szCs w:val="24"/>
          </w:rPr>
          <w:t>, 2015</w:t>
        </w:r>
      </w:hyperlink>
      <w:r w:rsidRPr="00A7624F">
        <w:rPr>
          <w:rFonts w:ascii="Times New Roman" w:hAnsi="Times New Roman"/>
          <w:noProof/>
          <w:sz w:val="24"/>
          <w:szCs w:val="24"/>
        </w:rPr>
        <w:t xml:space="preserve">; </w:t>
      </w:r>
      <w:proofErr w:type="spellStart"/>
      <w:r w:rsidR="005A4BE7" w:rsidRPr="00A7624F">
        <w:rPr>
          <w:rFonts w:ascii="Times New Roman" w:hAnsi="Times New Roman"/>
          <w:sz w:val="24"/>
          <w:szCs w:val="24"/>
        </w:rPr>
        <w:t>Dushnitsky</w:t>
      </w:r>
      <w:proofErr w:type="spellEnd"/>
      <w:r w:rsidR="005A4BE7" w:rsidRPr="00A7624F">
        <w:rPr>
          <w:rFonts w:ascii="Times New Roman" w:hAnsi="Times New Roman"/>
          <w:sz w:val="24"/>
          <w:szCs w:val="24"/>
        </w:rPr>
        <w:t xml:space="preserve"> &amp; Lenox, 2005</w:t>
      </w:r>
      <w:r w:rsidRPr="00A7624F">
        <w:rPr>
          <w:rFonts w:ascii="Times New Roman" w:hAnsi="Times New Roman"/>
          <w:sz w:val="24"/>
          <w:szCs w:val="24"/>
        </w:rPr>
        <w:t xml:space="preserve">, 2005b; </w:t>
      </w:r>
      <w:proofErr w:type="spellStart"/>
      <w:r w:rsidRPr="00A7624F">
        <w:rPr>
          <w:rFonts w:ascii="Times New Roman" w:hAnsi="Times New Roman"/>
          <w:sz w:val="24"/>
          <w:szCs w:val="24"/>
        </w:rPr>
        <w:t>Maula</w:t>
      </w:r>
      <w:proofErr w:type="spellEnd"/>
      <w:r w:rsidRPr="00A7624F">
        <w:rPr>
          <w:rFonts w:ascii="Times New Roman" w:hAnsi="Times New Roman"/>
          <w:sz w:val="24"/>
          <w:szCs w:val="24"/>
        </w:rPr>
        <w:t xml:space="preserve">, </w:t>
      </w:r>
      <w:r w:rsidR="005A4BE7" w:rsidRPr="00A7624F">
        <w:rPr>
          <w:rFonts w:ascii="Times New Roman" w:hAnsi="Times New Roman"/>
          <w:sz w:val="24"/>
          <w:szCs w:val="24"/>
        </w:rPr>
        <w:t>et al.</w:t>
      </w:r>
      <w:r w:rsidRPr="00A7624F">
        <w:rPr>
          <w:rFonts w:ascii="Times New Roman" w:hAnsi="Times New Roman"/>
          <w:sz w:val="24"/>
          <w:szCs w:val="24"/>
        </w:rPr>
        <w:t xml:space="preserve">, 2013; </w:t>
      </w:r>
      <w:r w:rsidRPr="00A7624F">
        <w:rPr>
          <w:rFonts w:ascii="Times New Roman" w:hAnsi="Times New Roman"/>
          <w:noProof/>
          <w:sz w:val="24"/>
          <w:szCs w:val="24"/>
        </w:rPr>
        <w:t>Lee &amp; Kang, 2015</w:t>
      </w:r>
      <w:r w:rsidRPr="00A7624F">
        <w:rPr>
          <w:rFonts w:ascii="Times New Roman" w:hAnsi="Times New Roman"/>
          <w:sz w:val="24"/>
          <w:szCs w:val="24"/>
        </w:rPr>
        <w:t xml:space="preserve">; </w:t>
      </w:r>
      <w:r w:rsidRPr="00A7624F">
        <w:rPr>
          <w:rFonts w:ascii="Times New Roman" w:hAnsi="Times New Roman"/>
          <w:noProof/>
          <w:sz w:val="24"/>
          <w:szCs w:val="24"/>
        </w:rPr>
        <w:t xml:space="preserve">Wadhwa, </w:t>
      </w:r>
      <w:r w:rsidR="005A4BE7" w:rsidRPr="00A7624F">
        <w:rPr>
          <w:rFonts w:ascii="Times New Roman" w:hAnsi="Times New Roman"/>
          <w:noProof/>
          <w:sz w:val="24"/>
          <w:szCs w:val="24"/>
        </w:rPr>
        <w:t>et al.</w:t>
      </w:r>
      <w:r w:rsidRPr="00A7624F">
        <w:rPr>
          <w:rFonts w:ascii="Times New Roman" w:hAnsi="Times New Roman"/>
          <w:noProof/>
          <w:sz w:val="24"/>
          <w:szCs w:val="24"/>
        </w:rPr>
        <w:t>, 2016</w:t>
      </w:r>
      <w:r w:rsidRPr="00A7624F">
        <w:rPr>
          <w:rFonts w:ascii="Times New Roman" w:hAnsi="Times New Roman"/>
          <w:sz w:val="24"/>
          <w:szCs w:val="24"/>
        </w:rPr>
        <w:t xml:space="preserve">; Yang, </w:t>
      </w:r>
      <w:r w:rsidR="005A4BE7" w:rsidRPr="00A7624F">
        <w:rPr>
          <w:rFonts w:ascii="Times New Roman" w:hAnsi="Times New Roman"/>
          <w:sz w:val="24"/>
          <w:szCs w:val="24"/>
        </w:rPr>
        <w:t>et al.</w:t>
      </w:r>
      <w:r w:rsidRPr="00A7624F">
        <w:rPr>
          <w:rFonts w:ascii="Times New Roman" w:hAnsi="Times New Roman"/>
          <w:sz w:val="24"/>
          <w:szCs w:val="24"/>
        </w:rPr>
        <w:t>, 2014).  The pursuit of strategic objectives has prompted the literature to view CVC activity as option investments that create growth value for corporate investors (</w:t>
      </w:r>
      <w:proofErr w:type="spellStart"/>
      <w:r w:rsidRPr="00A7624F">
        <w:rPr>
          <w:rFonts w:ascii="Times New Roman" w:hAnsi="Times New Roman"/>
          <w:sz w:val="24"/>
          <w:szCs w:val="24"/>
        </w:rPr>
        <w:t>Dushnitsky</w:t>
      </w:r>
      <w:proofErr w:type="spellEnd"/>
      <w:r w:rsidRPr="00A7624F">
        <w:rPr>
          <w:rFonts w:ascii="Times New Roman" w:hAnsi="Times New Roman"/>
          <w:sz w:val="24"/>
          <w:szCs w:val="24"/>
        </w:rPr>
        <w:t xml:space="preserve"> &amp; Lenox, 2006; </w:t>
      </w:r>
      <w:proofErr w:type="spellStart"/>
      <w:r w:rsidRPr="00A7624F">
        <w:rPr>
          <w:rFonts w:ascii="Times New Roman" w:hAnsi="Times New Roman"/>
          <w:sz w:val="24"/>
          <w:szCs w:val="24"/>
        </w:rPr>
        <w:t>Maula</w:t>
      </w:r>
      <w:proofErr w:type="spellEnd"/>
      <w:r w:rsidRPr="00A7624F">
        <w:rPr>
          <w:rFonts w:ascii="Times New Roman" w:hAnsi="Times New Roman"/>
          <w:sz w:val="24"/>
          <w:szCs w:val="24"/>
        </w:rPr>
        <w:t xml:space="preserve">, 2001) because it opens a window to </w:t>
      </w:r>
      <w:proofErr w:type="gramStart"/>
      <w:r w:rsidRPr="00A7624F">
        <w:rPr>
          <w:rFonts w:ascii="Times New Roman" w:hAnsi="Times New Roman"/>
          <w:sz w:val="24"/>
          <w:szCs w:val="24"/>
        </w:rPr>
        <w:t>new technologies</w:t>
      </w:r>
      <w:proofErr w:type="gramEnd"/>
      <w:r w:rsidRPr="00A7624F">
        <w:rPr>
          <w:rFonts w:ascii="Times New Roman" w:hAnsi="Times New Roman"/>
          <w:sz w:val="24"/>
          <w:szCs w:val="24"/>
        </w:rPr>
        <w:t xml:space="preserve"> and provide learning opportunities (e.g. </w:t>
      </w:r>
      <w:proofErr w:type="spellStart"/>
      <w:r w:rsidRPr="00A7624F">
        <w:rPr>
          <w:rFonts w:ascii="Times New Roman" w:hAnsi="Times New Roman"/>
          <w:sz w:val="24"/>
          <w:szCs w:val="24"/>
        </w:rPr>
        <w:t>Dushnitsky</w:t>
      </w:r>
      <w:proofErr w:type="spellEnd"/>
      <w:r w:rsidRPr="00A7624F">
        <w:rPr>
          <w:rFonts w:ascii="Times New Roman" w:hAnsi="Times New Roman"/>
          <w:sz w:val="24"/>
          <w:szCs w:val="24"/>
        </w:rPr>
        <w:t xml:space="preserve"> &amp; Lenox, 2005; </w:t>
      </w:r>
      <w:proofErr w:type="spellStart"/>
      <w:r w:rsidRPr="00A7624F">
        <w:rPr>
          <w:rFonts w:ascii="Times New Roman" w:hAnsi="Times New Roman"/>
          <w:sz w:val="24"/>
          <w:szCs w:val="24"/>
        </w:rPr>
        <w:t>Maula</w:t>
      </w:r>
      <w:proofErr w:type="spellEnd"/>
      <w:r w:rsidRPr="00A7624F">
        <w:rPr>
          <w:rFonts w:ascii="Times New Roman" w:hAnsi="Times New Roman"/>
          <w:sz w:val="24"/>
          <w:szCs w:val="24"/>
        </w:rPr>
        <w:t xml:space="preserve"> et al., 2013; </w:t>
      </w:r>
      <w:proofErr w:type="spellStart"/>
      <w:r w:rsidRPr="00A7624F">
        <w:rPr>
          <w:rFonts w:ascii="Times New Roman" w:hAnsi="Times New Roman"/>
          <w:sz w:val="24"/>
          <w:szCs w:val="24"/>
        </w:rPr>
        <w:t>Schildt</w:t>
      </w:r>
      <w:proofErr w:type="spellEnd"/>
      <w:r w:rsidRPr="00A7624F">
        <w:rPr>
          <w:rFonts w:ascii="Times New Roman" w:hAnsi="Times New Roman"/>
          <w:sz w:val="24"/>
          <w:szCs w:val="24"/>
        </w:rPr>
        <w:t xml:space="preserve"> et al., 2005; Yang, et al., 2009) for future development.  Indeed, real option theory suggests that firms could use small initial investments to general options for future big investment decisions (</w:t>
      </w:r>
      <w:proofErr w:type="spellStart"/>
      <w:r w:rsidRPr="00A7624F">
        <w:rPr>
          <w:rFonts w:ascii="Times New Roman" w:hAnsi="Times New Roman"/>
          <w:sz w:val="24"/>
          <w:szCs w:val="24"/>
        </w:rPr>
        <w:t>Folta</w:t>
      </w:r>
      <w:proofErr w:type="spellEnd"/>
      <w:r w:rsidRPr="00A7624F">
        <w:rPr>
          <w:rFonts w:ascii="Times New Roman" w:hAnsi="Times New Roman"/>
          <w:sz w:val="24"/>
          <w:szCs w:val="24"/>
        </w:rPr>
        <w:t xml:space="preserve">, 1998).  It is </w:t>
      </w:r>
      <w:proofErr w:type="gramStart"/>
      <w:r w:rsidRPr="00A7624F">
        <w:rPr>
          <w:rFonts w:ascii="Times New Roman" w:hAnsi="Times New Roman"/>
          <w:sz w:val="24"/>
          <w:szCs w:val="24"/>
        </w:rPr>
        <w:t>particular important</w:t>
      </w:r>
      <w:proofErr w:type="gramEnd"/>
      <w:r w:rsidRPr="00A7624F">
        <w:rPr>
          <w:rFonts w:ascii="Times New Roman" w:hAnsi="Times New Roman"/>
          <w:sz w:val="24"/>
          <w:szCs w:val="24"/>
        </w:rPr>
        <w:t xml:space="preserve"> for firms to develop or </w:t>
      </w:r>
      <w:r w:rsidRPr="00A7624F">
        <w:rPr>
          <w:rFonts w:ascii="Times New Roman" w:hAnsi="Times New Roman"/>
          <w:sz w:val="24"/>
          <w:szCs w:val="24"/>
        </w:rPr>
        <w:lastRenderedPageBreak/>
        <w:t xml:space="preserve">acquire new technologies in the early stage as these early-stage technologies are notoriously difficult to value due to high technological and market uncertainty (Van de </w:t>
      </w:r>
      <w:proofErr w:type="spellStart"/>
      <w:r w:rsidRPr="00A7624F">
        <w:rPr>
          <w:rFonts w:ascii="Times New Roman" w:hAnsi="Times New Roman"/>
          <w:sz w:val="24"/>
          <w:szCs w:val="24"/>
        </w:rPr>
        <w:t>Vrande</w:t>
      </w:r>
      <w:proofErr w:type="spellEnd"/>
      <w:r w:rsidRPr="00A7624F">
        <w:rPr>
          <w:rFonts w:ascii="Times New Roman" w:hAnsi="Times New Roman"/>
          <w:sz w:val="24"/>
          <w:szCs w:val="24"/>
        </w:rPr>
        <w:t xml:space="preserve"> &amp; </w:t>
      </w:r>
      <w:proofErr w:type="spellStart"/>
      <w:r w:rsidRPr="00A7624F">
        <w:rPr>
          <w:rFonts w:ascii="Times New Roman" w:hAnsi="Times New Roman"/>
          <w:sz w:val="24"/>
          <w:szCs w:val="24"/>
        </w:rPr>
        <w:t>Vanhaverbeke</w:t>
      </w:r>
      <w:proofErr w:type="spellEnd"/>
      <w:r w:rsidRPr="00A7624F">
        <w:rPr>
          <w:rFonts w:ascii="Times New Roman" w:hAnsi="Times New Roman"/>
          <w:sz w:val="24"/>
          <w:szCs w:val="24"/>
        </w:rPr>
        <w:t xml:space="preserve">, 2012).   These initial investments in </w:t>
      </w:r>
      <w:proofErr w:type="gramStart"/>
      <w:r w:rsidRPr="00A7624F">
        <w:rPr>
          <w:rFonts w:ascii="Times New Roman" w:hAnsi="Times New Roman"/>
          <w:sz w:val="24"/>
          <w:szCs w:val="24"/>
        </w:rPr>
        <w:t>new technology</w:t>
      </w:r>
      <w:proofErr w:type="gramEnd"/>
      <w:r w:rsidRPr="00A7624F">
        <w:rPr>
          <w:rFonts w:ascii="Times New Roman" w:hAnsi="Times New Roman"/>
          <w:sz w:val="24"/>
          <w:szCs w:val="24"/>
        </w:rPr>
        <w:t xml:space="preserve"> may take the form of CVC investments (Benson &amp; </w:t>
      </w:r>
      <w:proofErr w:type="spellStart"/>
      <w:r w:rsidRPr="00A7624F">
        <w:rPr>
          <w:rFonts w:ascii="Times New Roman" w:hAnsi="Times New Roman"/>
          <w:sz w:val="24"/>
          <w:szCs w:val="24"/>
        </w:rPr>
        <w:t>Ziedomis</w:t>
      </w:r>
      <w:proofErr w:type="spellEnd"/>
      <w:r w:rsidRPr="00A7624F">
        <w:rPr>
          <w:rFonts w:ascii="Times New Roman" w:hAnsi="Times New Roman"/>
          <w:sz w:val="24"/>
          <w:szCs w:val="24"/>
        </w:rPr>
        <w:t xml:space="preserve">, 2009; Van de </w:t>
      </w:r>
      <w:proofErr w:type="spellStart"/>
      <w:r w:rsidRPr="00A7624F">
        <w:rPr>
          <w:rFonts w:ascii="Times New Roman" w:hAnsi="Times New Roman"/>
          <w:sz w:val="24"/>
          <w:szCs w:val="24"/>
        </w:rPr>
        <w:t>Vrande</w:t>
      </w:r>
      <w:proofErr w:type="spellEnd"/>
      <w:r w:rsidRPr="00A7624F">
        <w:rPr>
          <w:rFonts w:ascii="Times New Roman" w:hAnsi="Times New Roman"/>
          <w:sz w:val="24"/>
          <w:szCs w:val="24"/>
        </w:rPr>
        <w:t xml:space="preserve"> et al., 2006).  Through CVC investments, CVC investors take the first step in acquiring more information to deal with the uncertainties related to the technology and market opportunities (</w:t>
      </w:r>
      <w:proofErr w:type="spellStart"/>
      <w:r w:rsidRPr="00A7624F">
        <w:rPr>
          <w:rFonts w:ascii="Times New Roman" w:hAnsi="Times New Roman"/>
          <w:sz w:val="24"/>
          <w:szCs w:val="24"/>
        </w:rPr>
        <w:t>Guler</w:t>
      </w:r>
      <w:proofErr w:type="spellEnd"/>
      <w:r w:rsidRPr="00A7624F">
        <w:rPr>
          <w:rFonts w:ascii="Times New Roman" w:hAnsi="Times New Roman"/>
          <w:sz w:val="24"/>
          <w:szCs w:val="24"/>
        </w:rPr>
        <w:t xml:space="preserve">, 2007).  </w:t>
      </w:r>
      <w:r w:rsidR="00C240BB" w:rsidRPr="00A7624F">
        <w:rPr>
          <w:rFonts w:ascii="Times New Roman" w:hAnsi="Times New Roman"/>
          <w:sz w:val="24"/>
          <w:szCs w:val="24"/>
        </w:rPr>
        <w:t>When the uncertainties are reduced to an acceptable level, CVC investors could take follow-on steps to exercise these options, and acquiring portfolio companies has been considered as such an option exercising action (Tong &amp; Li, 201</w:t>
      </w:r>
      <w:r w:rsidR="005A4BE7" w:rsidRPr="00A7624F">
        <w:rPr>
          <w:rFonts w:ascii="Times New Roman" w:hAnsi="Times New Roman"/>
          <w:sz w:val="24"/>
          <w:szCs w:val="24"/>
        </w:rPr>
        <w:t>0</w:t>
      </w:r>
      <w:r w:rsidR="00C240BB" w:rsidRPr="00A7624F">
        <w:rPr>
          <w:rFonts w:ascii="Times New Roman" w:hAnsi="Times New Roman"/>
          <w:sz w:val="24"/>
          <w:szCs w:val="24"/>
        </w:rPr>
        <w:t xml:space="preserve">).  </w:t>
      </w:r>
    </w:p>
    <w:p w:rsidR="00664DEA" w:rsidRPr="00A7624F" w:rsidRDefault="00C240BB" w:rsidP="00664DEA">
      <w:pPr>
        <w:tabs>
          <w:tab w:val="num" w:pos="1440"/>
        </w:tabs>
        <w:autoSpaceDE w:val="0"/>
        <w:autoSpaceDN w:val="0"/>
        <w:adjustRightInd w:val="0"/>
        <w:spacing w:after="0" w:line="480" w:lineRule="auto"/>
        <w:ind w:firstLineChars="300" w:firstLine="720"/>
        <w:rPr>
          <w:rFonts w:ascii="Times New Roman" w:hAnsi="Times New Roman"/>
          <w:sz w:val="24"/>
          <w:szCs w:val="24"/>
        </w:rPr>
      </w:pPr>
      <w:r w:rsidRPr="00A7624F">
        <w:rPr>
          <w:rFonts w:ascii="Times New Roman" w:hAnsi="Times New Roman"/>
          <w:sz w:val="24"/>
          <w:szCs w:val="24"/>
        </w:rPr>
        <w:t xml:space="preserve">Although the acquisition of portfolio companies is of strategic importance and financial consequence to CVC investors, its impacts </w:t>
      </w:r>
      <w:r w:rsidR="00664DEA" w:rsidRPr="00A7624F">
        <w:rPr>
          <w:rFonts w:ascii="Times New Roman" w:hAnsi="Times New Roman"/>
          <w:sz w:val="24"/>
          <w:szCs w:val="24"/>
        </w:rPr>
        <w:t xml:space="preserve">appears to be under researched </w:t>
      </w:r>
      <w:r w:rsidRPr="00A7624F">
        <w:rPr>
          <w:rFonts w:ascii="Times New Roman" w:hAnsi="Times New Roman"/>
          <w:sz w:val="24"/>
          <w:szCs w:val="24"/>
        </w:rPr>
        <w:t>in the literature</w:t>
      </w:r>
      <w:r w:rsidR="00664DEA" w:rsidRPr="00A7624F">
        <w:rPr>
          <w:rFonts w:ascii="Times New Roman" w:hAnsi="Times New Roman"/>
          <w:sz w:val="24"/>
          <w:szCs w:val="24"/>
        </w:rPr>
        <w:t>.  Much of the research in both</w:t>
      </w:r>
      <w:r w:rsidRPr="00A7624F">
        <w:rPr>
          <w:rFonts w:ascii="Times New Roman" w:hAnsi="Times New Roman"/>
          <w:sz w:val="24"/>
          <w:szCs w:val="24"/>
        </w:rPr>
        <w:t xml:space="preserve"> management and finance</w:t>
      </w:r>
      <w:r w:rsidR="00664DEA" w:rsidRPr="00A7624F">
        <w:rPr>
          <w:rFonts w:ascii="Times New Roman" w:hAnsi="Times New Roman"/>
          <w:sz w:val="24"/>
          <w:szCs w:val="24"/>
        </w:rPr>
        <w:t xml:space="preserve"> fields has assumed that the acquisition of a portfolio company would generate financial returns to equity investors, thereby being an indicator of </w:t>
      </w:r>
      <w:proofErr w:type="gramStart"/>
      <w:r w:rsidR="00664DEA" w:rsidRPr="00A7624F">
        <w:rPr>
          <w:rFonts w:ascii="Times New Roman" w:hAnsi="Times New Roman"/>
          <w:sz w:val="24"/>
          <w:szCs w:val="24"/>
        </w:rPr>
        <w:t>good investment</w:t>
      </w:r>
      <w:proofErr w:type="gramEnd"/>
      <w:r w:rsidR="00664DEA" w:rsidRPr="00A7624F">
        <w:rPr>
          <w:rFonts w:ascii="Times New Roman" w:hAnsi="Times New Roman"/>
          <w:sz w:val="24"/>
          <w:szCs w:val="24"/>
        </w:rPr>
        <w:t xml:space="preserve"> performance.  </w:t>
      </w:r>
      <w:r w:rsidRPr="00A7624F">
        <w:rPr>
          <w:rFonts w:ascii="Times New Roman" w:hAnsi="Times New Roman"/>
          <w:sz w:val="24"/>
          <w:szCs w:val="24"/>
        </w:rPr>
        <w:t xml:space="preserve">But it may not be the case </w:t>
      </w:r>
      <w:r w:rsidR="00F1579C" w:rsidRPr="00A7624F">
        <w:rPr>
          <w:rFonts w:ascii="Times New Roman" w:hAnsi="Times New Roman"/>
          <w:sz w:val="24"/>
          <w:szCs w:val="24"/>
        </w:rPr>
        <w:t xml:space="preserve">for CVC investors.  </w:t>
      </w:r>
      <w:r w:rsidR="00664DEA" w:rsidRPr="00A7624F">
        <w:rPr>
          <w:rFonts w:ascii="Times New Roman" w:hAnsi="Times New Roman"/>
          <w:sz w:val="24"/>
          <w:szCs w:val="24"/>
        </w:rPr>
        <w:t xml:space="preserve">  Indeed, Benson and </w:t>
      </w:r>
      <w:proofErr w:type="spellStart"/>
      <w:r w:rsidR="00664DEA" w:rsidRPr="00A7624F">
        <w:rPr>
          <w:rFonts w:ascii="Times New Roman" w:hAnsi="Times New Roman"/>
          <w:sz w:val="24"/>
          <w:szCs w:val="24"/>
        </w:rPr>
        <w:t>Ziedonis</w:t>
      </w:r>
      <w:proofErr w:type="spellEnd"/>
      <w:r w:rsidR="00664DEA" w:rsidRPr="00A7624F">
        <w:rPr>
          <w:rFonts w:ascii="Times New Roman" w:hAnsi="Times New Roman"/>
          <w:sz w:val="24"/>
          <w:szCs w:val="24"/>
        </w:rPr>
        <w:t xml:space="preserve"> (2010) provide empirical evidence that takeovers of portfolio companies destroy value for shareholders of the acquisitive CVC investors</w:t>
      </w:r>
      <w:r w:rsidR="00C90C72" w:rsidRPr="00A7624F">
        <w:rPr>
          <w:rFonts w:ascii="Times New Roman" w:hAnsi="Times New Roman"/>
          <w:sz w:val="24"/>
          <w:szCs w:val="24"/>
        </w:rPr>
        <w:t xml:space="preserve"> when compared to CVC investors’ acquisitions of non</w:t>
      </w:r>
      <w:r w:rsidR="002C4894" w:rsidRPr="00A7624F">
        <w:rPr>
          <w:rFonts w:ascii="Times New Roman" w:hAnsi="Times New Roman"/>
          <w:sz w:val="24"/>
          <w:szCs w:val="24"/>
        </w:rPr>
        <w:t>-</w:t>
      </w:r>
      <w:r w:rsidR="00C90C72" w:rsidRPr="00A7624F">
        <w:rPr>
          <w:rFonts w:ascii="Times New Roman" w:hAnsi="Times New Roman"/>
          <w:sz w:val="24"/>
          <w:szCs w:val="24"/>
        </w:rPr>
        <w:t>portfolio companies</w:t>
      </w:r>
      <w:r w:rsidR="00664DEA" w:rsidRPr="00A7624F">
        <w:rPr>
          <w:rFonts w:ascii="Times New Roman" w:hAnsi="Times New Roman"/>
          <w:sz w:val="24"/>
          <w:szCs w:val="24"/>
        </w:rPr>
        <w:t xml:space="preserve">. On the other hand, </w:t>
      </w:r>
      <w:proofErr w:type="gramStart"/>
      <w:r w:rsidR="00664DEA" w:rsidRPr="00A7624F">
        <w:rPr>
          <w:rFonts w:ascii="Times New Roman" w:hAnsi="Times New Roman"/>
          <w:sz w:val="24"/>
          <w:szCs w:val="24"/>
        </w:rPr>
        <w:t>the majority of</w:t>
      </w:r>
      <w:proofErr w:type="gramEnd"/>
      <w:r w:rsidR="00664DEA" w:rsidRPr="00A7624F">
        <w:rPr>
          <w:rFonts w:ascii="Times New Roman" w:hAnsi="Times New Roman"/>
          <w:sz w:val="24"/>
          <w:szCs w:val="24"/>
        </w:rPr>
        <w:t xml:space="preserve"> acquisitions take place between portfolio companies and non-investor third parties, but little is known about how this kind of acquisitions.  Thus, it is questionable to just simply assume any acquisitions are good liquidity events without discerning the strategic consequences to corporate investors, and the question of how to manage acquisitions of portfolio companies deserves further investigations in CVC activity.  </w:t>
      </w:r>
    </w:p>
    <w:p w:rsidR="005A4BE7" w:rsidRPr="00A7624F" w:rsidRDefault="005A4BE7" w:rsidP="00664DEA">
      <w:pPr>
        <w:tabs>
          <w:tab w:val="num" w:pos="1440"/>
        </w:tabs>
        <w:autoSpaceDE w:val="0"/>
        <w:autoSpaceDN w:val="0"/>
        <w:adjustRightInd w:val="0"/>
        <w:spacing w:after="0" w:line="480" w:lineRule="auto"/>
        <w:rPr>
          <w:rFonts w:ascii="Times New Roman" w:hAnsi="Times New Roman"/>
          <w:b/>
          <w:sz w:val="24"/>
          <w:szCs w:val="24"/>
        </w:rPr>
      </w:pPr>
    </w:p>
    <w:p w:rsidR="00664DEA" w:rsidRPr="00A7624F" w:rsidRDefault="00664DEA" w:rsidP="00664DEA">
      <w:pPr>
        <w:tabs>
          <w:tab w:val="num" w:pos="1440"/>
        </w:tabs>
        <w:autoSpaceDE w:val="0"/>
        <w:autoSpaceDN w:val="0"/>
        <w:adjustRightInd w:val="0"/>
        <w:spacing w:after="0" w:line="480" w:lineRule="auto"/>
        <w:rPr>
          <w:rFonts w:ascii="Times New Roman" w:hAnsi="Times New Roman"/>
          <w:b/>
          <w:sz w:val="24"/>
          <w:szCs w:val="24"/>
        </w:rPr>
      </w:pPr>
      <w:r w:rsidRPr="00A7624F">
        <w:rPr>
          <w:rFonts w:ascii="Times New Roman" w:hAnsi="Times New Roman"/>
          <w:b/>
          <w:sz w:val="24"/>
          <w:szCs w:val="24"/>
        </w:rPr>
        <w:lastRenderedPageBreak/>
        <w:t>CVC Investor Acquirer vs. Third-party Acquirer – Market Reaction</w:t>
      </w:r>
    </w:p>
    <w:p w:rsidR="002C2C23" w:rsidRPr="00A7624F" w:rsidRDefault="002C4894" w:rsidP="00664DEA">
      <w:pPr>
        <w:tabs>
          <w:tab w:val="num" w:pos="1440"/>
        </w:tabs>
        <w:autoSpaceDE w:val="0"/>
        <w:autoSpaceDN w:val="0"/>
        <w:adjustRightInd w:val="0"/>
        <w:spacing w:after="0" w:line="480" w:lineRule="auto"/>
        <w:ind w:firstLineChars="300" w:firstLine="720"/>
        <w:rPr>
          <w:rFonts w:ascii="Times New Roman" w:hAnsi="Times New Roman"/>
          <w:sz w:val="24"/>
          <w:szCs w:val="24"/>
        </w:rPr>
      </w:pPr>
      <w:r w:rsidRPr="00A7624F">
        <w:rPr>
          <w:rFonts w:ascii="Times New Roman" w:hAnsi="Times New Roman"/>
          <w:sz w:val="24"/>
          <w:szCs w:val="24"/>
        </w:rPr>
        <w:t>As mentioned,</w:t>
      </w:r>
      <w:r w:rsidR="00664DEA" w:rsidRPr="00A7624F">
        <w:rPr>
          <w:rFonts w:ascii="Times New Roman" w:hAnsi="Times New Roman"/>
          <w:sz w:val="24"/>
          <w:szCs w:val="24"/>
        </w:rPr>
        <w:t xml:space="preserve"> researchers have pointed out that corporations can use CVC investments to build options including acquiring portfolio companies (Tong &amp; Li, 2011).  </w:t>
      </w:r>
      <w:r w:rsidR="00D41979" w:rsidRPr="00A7624F">
        <w:rPr>
          <w:rFonts w:ascii="Times New Roman" w:hAnsi="Times New Roman"/>
          <w:sz w:val="24"/>
          <w:szCs w:val="24"/>
        </w:rPr>
        <w:t xml:space="preserve">In principle, preexisting ties established through CVC investments could provide corporate investors with an access to knowledge of </w:t>
      </w:r>
      <w:r w:rsidRPr="00A7624F">
        <w:rPr>
          <w:rFonts w:ascii="Times New Roman" w:hAnsi="Times New Roman"/>
          <w:sz w:val="24"/>
          <w:szCs w:val="24"/>
        </w:rPr>
        <w:t xml:space="preserve">their portfolio companies.  These learning initial investments will educate CVC investors about the potential of </w:t>
      </w:r>
      <w:proofErr w:type="gramStart"/>
      <w:r w:rsidRPr="00A7624F">
        <w:rPr>
          <w:rFonts w:ascii="Times New Roman" w:hAnsi="Times New Roman"/>
          <w:sz w:val="24"/>
          <w:szCs w:val="24"/>
        </w:rPr>
        <w:t>new technologies</w:t>
      </w:r>
      <w:proofErr w:type="gramEnd"/>
      <w:r w:rsidRPr="00A7624F">
        <w:rPr>
          <w:rFonts w:ascii="Times New Roman" w:hAnsi="Times New Roman"/>
          <w:sz w:val="24"/>
          <w:szCs w:val="24"/>
        </w:rPr>
        <w:t xml:space="preserve"> and help them select acquisition targets (option exercising).  When the CVC investor decides to acquire a portfolio company, the knowledge obtained through the preexisting ties will also r</w:t>
      </w:r>
      <w:r w:rsidR="00D41979" w:rsidRPr="00A7624F">
        <w:rPr>
          <w:rFonts w:ascii="Times New Roman" w:hAnsi="Times New Roman"/>
          <w:sz w:val="24"/>
          <w:szCs w:val="24"/>
        </w:rPr>
        <w:t>educ</w:t>
      </w:r>
      <w:r w:rsidRPr="00A7624F">
        <w:rPr>
          <w:rFonts w:ascii="Times New Roman" w:hAnsi="Times New Roman"/>
          <w:sz w:val="24"/>
          <w:szCs w:val="24"/>
        </w:rPr>
        <w:t xml:space="preserve">e </w:t>
      </w:r>
      <w:r w:rsidR="00D41979" w:rsidRPr="00A7624F">
        <w:rPr>
          <w:rFonts w:ascii="Times New Roman" w:hAnsi="Times New Roman"/>
          <w:sz w:val="24"/>
          <w:szCs w:val="24"/>
        </w:rPr>
        <w:t>asymmetric information</w:t>
      </w:r>
      <w:r w:rsidRPr="00A7624F">
        <w:rPr>
          <w:rFonts w:ascii="Times New Roman" w:hAnsi="Times New Roman"/>
          <w:sz w:val="24"/>
          <w:szCs w:val="24"/>
        </w:rPr>
        <w:t xml:space="preserve"> and help them</w:t>
      </w:r>
      <w:r w:rsidR="00D41979" w:rsidRPr="00A7624F">
        <w:rPr>
          <w:rFonts w:ascii="Times New Roman" w:hAnsi="Times New Roman"/>
          <w:sz w:val="24"/>
          <w:szCs w:val="24"/>
        </w:rPr>
        <w:t xml:space="preserve"> overpayments in the subsequent acquisitions (Thaler, 1988). </w:t>
      </w:r>
    </w:p>
    <w:p w:rsidR="00D41979" w:rsidRPr="00A7624F" w:rsidRDefault="00B47191" w:rsidP="0092044C">
      <w:pPr>
        <w:tabs>
          <w:tab w:val="num" w:pos="1440"/>
        </w:tabs>
        <w:autoSpaceDE w:val="0"/>
        <w:autoSpaceDN w:val="0"/>
        <w:adjustRightInd w:val="0"/>
        <w:spacing w:after="0" w:line="480" w:lineRule="auto"/>
        <w:ind w:firstLineChars="300" w:firstLine="720"/>
        <w:rPr>
          <w:rFonts w:ascii="Times New Roman" w:hAnsi="Times New Roman"/>
          <w:sz w:val="24"/>
          <w:szCs w:val="24"/>
        </w:rPr>
      </w:pPr>
      <w:r w:rsidRPr="00A7624F">
        <w:rPr>
          <w:rFonts w:ascii="Times New Roman" w:hAnsi="Times New Roman"/>
          <w:sz w:val="24"/>
          <w:szCs w:val="24"/>
        </w:rPr>
        <w:t xml:space="preserve">However, research dependence theory suggests that </w:t>
      </w:r>
      <w:r w:rsidR="00825E94" w:rsidRPr="00A7624F">
        <w:rPr>
          <w:rFonts w:ascii="Times New Roman" w:hAnsi="Times New Roman"/>
          <w:sz w:val="24"/>
          <w:szCs w:val="24"/>
        </w:rPr>
        <w:t>power imbalance between firm</w:t>
      </w:r>
      <w:r w:rsidR="00A63C94" w:rsidRPr="00A7624F">
        <w:rPr>
          <w:rFonts w:ascii="Times New Roman" w:hAnsi="Times New Roman"/>
          <w:sz w:val="24"/>
          <w:szCs w:val="24"/>
        </w:rPr>
        <w:t>s</w:t>
      </w:r>
      <w:r w:rsidR="00825E94" w:rsidRPr="00A7624F">
        <w:rPr>
          <w:rFonts w:ascii="Times New Roman" w:hAnsi="Times New Roman"/>
          <w:sz w:val="24"/>
          <w:szCs w:val="24"/>
        </w:rPr>
        <w:t xml:space="preserve"> acts as an obstacle to mergers and acquisitions because mergers and acquisitions will internalize the less powerful firm into the operations of more powerful firm, thereby reducing the latter’s power advantage in the relationship (Casciaro &amp; </w:t>
      </w:r>
      <w:proofErr w:type="spellStart"/>
      <w:r w:rsidR="00825E94" w:rsidRPr="00A7624F">
        <w:rPr>
          <w:rFonts w:ascii="Times New Roman" w:hAnsi="Times New Roman"/>
          <w:sz w:val="24"/>
          <w:szCs w:val="24"/>
        </w:rPr>
        <w:t>Piskorski</w:t>
      </w:r>
      <w:proofErr w:type="spellEnd"/>
      <w:r w:rsidR="00825E94" w:rsidRPr="00A7624F">
        <w:rPr>
          <w:rFonts w:ascii="Times New Roman" w:hAnsi="Times New Roman"/>
          <w:sz w:val="24"/>
          <w:szCs w:val="24"/>
        </w:rPr>
        <w:t xml:space="preserve">, 2005).  CVC investors and their portfolio companies present typical examples of such imbalanced power relationships. </w:t>
      </w:r>
      <w:r w:rsidR="00A63C94" w:rsidRPr="00A7624F">
        <w:rPr>
          <w:rFonts w:ascii="Times New Roman" w:hAnsi="Times New Roman"/>
          <w:sz w:val="24"/>
          <w:szCs w:val="24"/>
        </w:rPr>
        <w:t xml:space="preserve"> </w:t>
      </w:r>
      <w:r w:rsidR="00B445CF" w:rsidRPr="00A7624F">
        <w:rPr>
          <w:rFonts w:ascii="Times New Roman" w:hAnsi="Times New Roman"/>
          <w:sz w:val="24"/>
          <w:szCs w:val="24"/>
        </w:rPr>
        <w:t>CVC</w:t>
      </w:r>
      <w:r w:rsidR="00825E94" w:rsidRPr="00A7624F">
        <w:rPr>
          <w:rFonts w:ascii="Times New Roman" w:hAnsi="Times New Roman"/>
          <w:sz w:val="24"/>
          <w:szCs w:val="24"/>
        </w:rPr>
        <w:t xml:space="preserve"> investor</w:t>
      </w:r>
      <w:r w:rsidR="00B445CF" w:rsidRPr="00A7624F">
        <w:rPr>
          <w:rFonts w:ascii="Times New Roman" w:hAnsi="Times New Roman"/>
          <w:sz w:val="24"/>
          <w:szCs w:val="24"/>
        </w:rPr>
        <w:t>s</w:t>
      </w:r>
      <w:proofErr w:type="gramStart"/>
      <w:r w:rsidR="00B445CF" w:rsidRPr="00A7624F">
        <w:rPr>
          <w:rFonts w:ascii="Times New Roman" w:hAnsi="Times New Roman"/>
          <w:sz w:val="24"/>
          <w:szCs w:val="24"/>
        </w:rPr>
        <w:t xml:space="preserve">’  </w:t>
      </w:r>
      <w:r w:rsidR="002D5A61" w:rsidRPr="00A7624F">
        <w:rPr>
          <w:rFonts w:ascii="Times New Roman" w:hAnsi="Times New Roman"/>
          <w:sz w:val="24"/>
          <w:szCs w:val="24"/>
        </w:rPr>
        <w:t>a</w:t>
      </w:r>
      <w:r w:rsidR="00B445CF" w:rsidRPr="00A7624F">
        <w:rPr>
          <w:rFonts w:ascii="Times New Roman" w:hAnsi="Times New Roman"/>
          <w:sz w:val="24"/>
          <w:szCs w:val="24"/>
        </w:rPr>
        <w:t>cquisition</w:t>
      </w:r>
      <w:proofErr w:type="gramEnd"/>
      <w:r w:rsidR="00B445CF" w:rsidRPr="00A7624F">
        <w:rPr>
          <w:rFonts w:ascii="Times New Roman" w:hAnsi="Times New Roman"/>
          <w:sz w:val="24"/>
          <w:szCs w:val="24"/>
        </w:rPr>
        <w:t xml:space="preserve"> of</w:t>
      </w:r>
      <w:r w:rsidR="00825E94" w:rsidRPr="00A7624F">
        <w:rPr>
          <w:rFonts w:ascii="Times New Roman" w:hAnsi="Times New Roman"/>
          <w:sz w:val="24"/>
          <w:szCs w:val="24"/>
        </w:rPr>
        <w:t xml:space="preserve"> their own portfolio companies</w:t>
      </w:r>
      <w:r w:rsidR="00B445CF" w:rsidRPr="00A7624F">
        <w:rPr>
          <w:rFonts w:ascii="Times New Roman" w:hAnsi="Times New Roman"/>
          <w:sz w:val="24"/>
          <w:szCs w:val="24"/>
        </w:rPr>
        <w:t xml:space="preserve"> reduces uncertainty for the portfolio companies (less powerful) by granting them stable access to the resources on which they are dependent (i.e., capital, marketing support, etc.).  However, CVC investor acquirers may lose part or all of their discretion over the allocation of critical resources to the less powerful party</w:t>
      </w:r>
      <w:r w:rsidR="00E62CB8" w:rsidRPr="00A7624F">
        <w:rPr>
          <w:rFonts w:ascii="Times New Roman" w:hAnsi="Times New Roman"/>
          <w:sz w:val="24"/>
          <w:szCs w:val="24"/>
        </w:rPr>
        <w:t>, and/</w:t>
      </w:r>
      <w:proofErr w:type="gramStart"/>
      <w:r w:rsidR="00E62CB8" w:rsidRPr="00A7624F">
        <w:rPr>
          <w:rFonts w:ascii="Times New Roman" w:hAnsi="Times New Roman"/>
          <w:sz w:val="24"/>
          <w:szCs w:val="24"/>
        </w:rPr>
        <w:t xml:space="preserve">or </w:t>
      </w:r>
      <w:r w:rsidR="00B445CF" w:rsidRPr="00A7624F">
        <w:rPr>
          <w:rFonts w:ascii="Times New Roman" w:hAnsi="Times New Roman"/>
          <w:sz w:val="24"/>
          <w:szCs w:val="24"/>
        </w:rPr>
        <w:t>.</w:t>
      </w:r>
      <w:proofErr w:type="gramEnd"/>
      <w:r w:rsidR="00B445CF" w:rsidRPr="00A7624F">
        <w:rPr>
          <w:rFonts w:ascii="Times New Roman" w:hAnsi="Times New Roman"/>
          <w:sz w:val="24"/>
          <w:szCs w:val="24"/>
        </w:rPr>
        <w:t xml:space="preserve">  Indeed, empirical studies have shown that such a preexisting investment relation may not benefit corporate investors </w:t>
      </w:r>
      <w:r w:rsidR="001F4728" w:rsidRPr="00A7624F">
        <w:rPr>
          <w:rFonts w:ascii="Times New Roman" w:hAnsi="Times New Roman"/>
          <w:sz w:val="24"/>
          <w:szCs w:val="24"/>
        </w:rPr>
        <w:t xml:space="preserve">and capital market may react negatively to such events </w:t>
      </w:r>
      <w:r w:rsidR="00B445CF" w:rsidRPr="00A7624F">
        <w:rPr>
          <w:rFonts w:ascii="Times New Roman" w:hAnsi="Times New Roman"/>
          <w:sz w:val="24"/>
          <w:szCs w:val="24"/>
        </w:rPr>
        <w:t xml:space="preserve">(Benson and </w:t>
      </w:r>
      <w:proofErr w:type="spellStart"/>
      <w:r w:rsidR="00B445CF" w:rsidRPr="00A7624F">
        <w:rPr>
          <w:rFonts w:ascii="Times New Roman" w:hAnsi="Times New Roman"/>
          <w:sz w:val="24"/>
          <w:szCs w:val="24"/>
        </w:rPr>
        <w:t>Ziedonis</w:t>
      </w:r>
      <w:proofErr w:type="spellEnd"/>
      <w:r w:rsidR="00B445CF" w:rsidRPr="00A7624F">
        <w:rPr>
          <w:rFonts w:ascii="Times New Roman" w:hAnsi="Times New Roman"/>
          <w:sz w:val="24"/>
          <w:szCs w:val="24"/>
        </w:rPr>
        <w:t xml:space="preserve">, 2010).  </w:t>
      </w:r>
    </w:p>
    <w:p w:rsidR="000902B3" w:rsidRPr="00A7624F" w:rsidRDefault="001F4728" w:rsidP="000902B3">
      <w:pPr>
        <w:autoSpaceDE w:val="0"/>
        <w:autoSpaceDN w:val="0"/>
        <w:adjustRightInd w:val="0"/>
        <w:spacing w:after="0" w:line="480" w:lineRule="auto"/>
        <w:ind w:firstLine="720"/>
        <w:rPr>
          <w:rFonts w:ascii="Times New Roman" w:hAnsi="Times New Roman"/>
          <w:sz w:val="24"/>
          <w:szCs w:val="24"/>
        </w:rPr>
      </w:pPr>
      <w:r w:rsidRPr="00A7624F">
        <w:rPr>
          <w:rFonts w:ascii="Times New Roman" w:hAnsi="Times New Roman"/>
          <w:sz w:val="24"/>
          <w:szCs w:val="24"/>
        </w:rPr>
        <w:t xml:space="preserve">On the contrary, third-party acquirers don’t have such constraints embedded in the preexisting investment ties.  Although they may not have access to obtaining </w:t>
      </w:r>
      <w:r w:rsidR="00AC3721" w:rsidRPr="00A7624F">
        <w:rPr>
          <w:rFonts w:ascii="Times New Roman" w:hAnsi="Times New Roman"/>
          <w:sz w:val="24"/>
          <w:szCs w:val="24"/>
        </w:rPr>
        <w:t xml:space="preserve">inside information </w:t>
      </w:r>
      <w:r w:rsidR="00AC3721" w:rsidRPr="00A7624F">
        <w:rPr>
          <w:rFonts w:ascii="Times New Roman" w:hAnsi="Times New Roman"/>
          <w:sz w:val="24"/>
          <w:szCs w:val="24"/>
        </w:rPr>
        <w:lastRenderedPageBreak/>
        <w:t xml:space="preserve">on target companies and </w:t>
      </w:r>
      <w:r w:rsidR="00E62CB8" w:rsidRPr="00A7624F">
        <w:rPr>
          <w:rFonts w:ascii="Times New Roman" w:hAnsi="Times New Roman"/>
          <w:sz w:val="24"/>
          <w:szCs w:val="24"/>
        </w:rPr>
        <w:t xml:space="preserve">be </w:t>
      </w:r>
      <w:r w:rsidR="00AC3721" w:rsidRPr="00A7624F">
        <w:rPr>
          <w:rFonts w:ascii="Times New Roman" w:hAnsi="Times New Roman"/>
          <w:sz w:val="24"/>
          <w:szCs w:val="24"/>
        </w:rPr>
        <w:t xml:space="preserve">subject to adverse selection due to asymmetric information, </w:t>
      </w:r>
      <w:r w:rsidR="00F721DB" w:rsidRPr="00A7624F">
        <w:rPr>
          <w:rFonts w:ascii="Times New Roman" w:hAnsi="Times New Roman"/>
          <w:sz w:val="24"/>
          <w:szCs w:val="24"/>
        </w:rPr>
        <w:t xml:space="preserve">they </w:t>
      </w:r>
      <w:r w:rsidR="00667B49" w:rsidRPr="00A7624F">
        <w:rPr>
          <w:rFonts w:ascii="Times New Roman" w:hAnsi="Times New Roman"/>
          <w:sz w:val="24"/>
          <w:szCs w:val="24"/>
        </w:rPr>
        <w:t>could benefit</w:t>
      </w:r>
      <w:r w:rsidR="00F721DB" w:rsidRPr="00A7624F">
        <w:rPr>
          <w:rFonts w:ascii="Times New Roman" w:hAnsi="Times New Roman"/>
          <w:sz w:val="24"/>
          <w:szCs w:val="24"/>
        </w:rPr>
        <w:t xml:space="preserve"> by acquiring </w:t>
      </w:r>
      <w:r w:rsidR="00AC3721" w:rsidRPr="00A7624F">
        <w:rPr>
          <w:rFonts w:ascii="Times New Roman" w:hAnsi="Times New Roman"/>
          <w:sz w:val="24"/>
          <w:szCs w:val="24"/>
        </w:rPr>
        <w:t xml:space="preserve">portfolio companies </w:t>
      </w:r>
      <w:r w:rsidR="00F721DB" w:rsidRPr="00A7624F">
        <w:rPr>
          <w:rFonts w:ascii="Times New Roman" w:hAnsi="Times New Roman"/>
          <w:sz w:val="24"/>
          <w:szCs w:val="24"/>
        </w:rPr>
        <w:t>b</w:t>
      </w:r>
      <w:r w:rsidR="00667B49" w:rsidRPr="00A7624F">
        <w:rPr>
          <w:rFonts w:ascii="Times New Roman" w:hAnsi="Times New Roman"/>
          <w:sz w:val="24"/>
          <w:szCs w:val="24"/>
        </w:rPr>
        <w:t xml:space="preserve">acked by CVC investors because </w:t>
      </w:r>
      <w:r w:rsidR="00E76001" w:rsidRPr="00A7624F">
        <w:rPr>
          <w:rFonts w:ascii="Times New Roman" w:hAnsi="Times New Roman"/>
          <w:sz w:val="24"/>
          <w:szCs w:val="24"/>
        </w:rPr>
        <w:t xml:space="preserve">CVC investors could add more value to portfolio companies compared to independent VCs. </w:t>
      </w:r>
      <w:r w:rsidR="000902B3" w:rsidRPr="00A7624F">
        <w:rPr>
          <w:rFonts w:ascii="Times New Roman" w:hAnsi="Times New Roman"/>
          <w:sz w:val="24"/>
          <w:szCs w:val="24"/>
        </w:rPr>
        <w:t xml:space="preserve"> For example, </w:t>
      </w:r>
      <w:proofErr w:type="spellStart"/>
      <w:r w:rsidR="000902B3" w:rsidRPr="00A7624F">
        <w:rPr>
          <w:rFonts w:ascii="Times New Roman" w:hAnsi="Times New Roman"/>
          <w:sz w:val="24"/>
          <w:szCs w:val="24"/>
        </w:rPr>
        <w:t>Studart</w:t>
      </w:r>
      <w:proofErr w:type="spellEnd"/>
      <w:r w:rsidR="000902B3" w:rsidRPr="00A7624F">
        <w:rPr>
          <w:rFonts w:ascii="Times New Roman" w:hAnsi="Times New Roman"/>
          <w:sz w:val="24"/>
          <w:szCs w:val="24"/>
        </w:rPr>
        <w:t xml:space="preserve"> and his colleagues (1999) find that biotech startups with prominent corporate investors launch IPOs more quickly and with higher valuations than those without such ties.  </w:t>
      </w:r>
      <w:proofErr w:type="spellStart"/>
      <w:r w:rsidR="000902B3" w:rsidRPr="00A7624F">
        <w:rPr>
          <w:rFonts w:ascii="Times New Roman" w:hAnsi="Times New Roman"/>
          <w:sz w:val="24"/>
          <w:szCs w:val="24"/>
        </w:rPr>
        <w:t>Maula</w:t>
      </w:r>
      <w:proofErr w:type="spellEnd"/>
      <w:r w:rsidR="000902B3" w:rsidRPr="00A7624F">
        <w:rPr>
          <w:rFonts w:ascii="Times New Roman" w:hAnsi="Times New Roman"/>
          <w:sz w:val="24"/>
          <w:szCs w:val="24"/>
        </w:rPr>
        <w:t xml:space="preserve"> and Murray (2002) add similar evidence from the IT sectors on the higher market valuations of CVC-backed startups than those financed by independent venture capitals alone.  Park and </w:t>
      </w:r>
      <w:proofErr w:type="spellStart"/>
      <w:r w:rsidR="000902B3" w:rsidRPr="00A7624F">
        <w:rPr>
          <w:rFonts w:ascii="Times New Roman" w:hAnsi="Times New Roman"/>
          <w:sz w:val="24"/>
          <w:szCs w:val="24"/>
        </w:rPr>
        <w:t>Steensma</w:t>
      </w:r>
      <w:proofErr w:type="spellEnd"/>
      <w:r w:rsidR="000902B3" w:rsidRPr="00A7624F">
        <w:rPr>
          <w:rFonts w:ascii="Times New Roman" w:hAnsi="Times New Roman"/>
          <w:sz w:val="24"/>
          <w:szCs w:val="24"/>
        </w:rPr>
        <w:t xml:space="preserve"> (2012) find that CVC funding is particularly beneficial for new ventures to go IPOs when they require specialized complementary assets.</w:t>
      </w:r>
    </w:p>
    <w:p w:rsidR="000902B3" w:rsidRPr="00A7624F" w:rsidRDefault="00BA7A19" w:rsidP="0092044C">
      <w:pPr>
        <w:tabs>
          <w:tab w:val="num" w:pos="1440"/>
        </w:tabs>
        <w:autoSpaceDE w:val="0"/>
        <w:autoSpaceDN w:val="0"/>
        <w:adjustRightInd w:val="0"/>
        <w:spacing w:after="0" w:line="480" w:lineRule="auto"/>
        <w:ind w:firstLineChars="300" w:firstLine="720"/>
        <w:rPr>
          <w:rFonts w:ascii="Times New Roman" w:hAnsi="Times New Roman"/>
          <w:sz w:val="24"/>
          <w:szCs w:val="24"/>
        </w:rPr>
      </w:pPr>
      <w:r w:rsidRPr="00A7624F">
        <w:rPr>
          <w:rFonts w:ascii="Times New Roman" w:hAnsi="Times New Roman"/>
          <w:sz w:val="24"/>
          <w:szCs w:val="24"/>
        </w:rPr>
        <w:t>Thus, we propose:</w:t>
      </w:r>
    </w:p>
    <w:p w:rsidR="00BA7A19" w:rsidRPr="00A7624F" w:rsidRDefault="00664DEA" w:rsidP="00BA7A19">
      <w:pPr>
        <w:tabs>
          <w:tab w:val="num" w:pos="1440"/>
        </w:tabs>
        <w:autoSpaceDE w:val="0"/>
        <w:autoSpaceDN w:val="0"/>
        <w:adjustRightInd w:val="0"/>
        <w:spacing w:after="0" w:line="480" w:lineRule="auto"/>
        <w:ind w:firstLineChars="300" w:firstLine="720"/>
        <w:rPr>
          <w:rFonts w:ascii="Times New Roman" w:hAnsi="Times New Roman"/>
          <w:i/>
          <w:sz w:val="24"/>
          <w:szCs w:val="24"/>
        </w:rPr>
      </w:pPr>
      <w:r w:rsidRPr="00A7624F">
        <w:rPr>
          <w:rFonts w:ascii="Times New Roman" w:hAnsi="Times New Roman"/>
          <w:i/>
          <w:sz w:val="24"/>
          <w:szCs w:val="24"/>
        </w:rPr>
        <w:t>H1</w:t>
      </w:r>
      <w:r w:rsidR="00BA7A19" w:rsidRPr="00A7624F">
        <w:rPr>
          <w:rFonts w:ascii="Times New Roman" w:hAnsi="Times New Roman"/>
          <w:i/>
          <w:sz w:val="24"/>
          <w:szCs w:val="24"/>
        </w:rPr>
        <w:t xml:space="preserve">. Market reactions are more positive to acquisitions by third-party acquirers than by CVC investor acquirer.  </w:t>
      </w:r>
    </w:p>
    <w:p w:rsidR="00664DEA" w:rsidRPr="00A7624F" w:rsidRDefault="00D77798" w:rsidP="00BA7A19">
      <w:pPr>
        <w:tabs>
          <w:tab w:val="num" w:pos="1440"/>
        </w:tabs>
        <w:autoSpaceDE w:val="0"/>
        <w:autoSpaceDN w:val="0"/>
        <w:adjustRightInd w:val="0"/>
        <w:spacing w:after="0" w:line="480" w:lineRule="auto"/>
        <w:rPr>
          <w:rFonts w:ascii="Times New Roman" w:hAnsi="Times New Roman"/>
          <w:b/>
          <w:sz w:val="24"/>
          <w:szCs w:val="24"/>
        </w:rPr>
      </w:pPr>
      <w:r w:rsidRPr="00A7624F">
        <w:rPr>
          <w:rFonts w:ascii="Times New Roman" w:hAnsi="Times New Roman"/>
          <w:b/>
          <w:sz w:val="24"/>
          <w:szCs w:val="24"/>
        </w:rPr>
        <w:t xml:space="preserve">CVC investor </w:t>
      </w:r>
      <w:r w:rsidR="00E62CB8" w:rsidRPr="00A7624F">
        <w:rPr>
          <w:rFonts w:ascii="Times New Roman" w:hAnsi="Times New Roman"/>
          <w:b/>
          <w:sz w:val="24"/>
          <w:szCs w:val="24"/>
        </w:rPr>
        <w:t xml:space="preserve">Acquirer </w:t>
      </w:r>
      <w:r w:rsidR="00664DEA" w:rsidRPr="00A7624F">
        <w:rPr>
          <w:rFonts w:ascii="Times New Roman" w:hAnsi="Times New Roman"/>
          <w:b/>
          <w:sz w:val="24"/>
          <w:szCs w:val="24"/>
        </w:rPr>
        <w:t>In-House R&amp;</w:t>
      </w:r>
      <w:r w:rsidRPr="00A7624F">
        <w:rPr>
          <w:rFonts w:ascii="Times New Roman" w:hAnsi="Times New Roman"/>
          <w:b/>
          <w:sz w:val="24"/>
          <w:szCs w:val="24"/>
        </w:rPr>
        <w:t xml:space="preserve">D and </w:t>
      </w:r>
      <w:r w:rsidR="00E62CB8" w:rsidRPr="00A7624F">
        <w:rPr>
          <w:rFonts w:ascii="Times New Roman" w:hAnsi="Times New Roman"/>
          <w:b/>
          <w:sz w:val="24"/>
          <w:szCs w:val="24"/>
        </w:rPr>
        <w:t xml:space="preserve">Its </w:t>
      </w:r>
      <w:r w:rsidR="00972F90" w:rsidRPr="00A7624F">
        <w:rPr>
          <w:rFonts w:ascii="Times New Roman" w:hAnsi="Times New Roman"/>
          <w:b/>
          <w:sz w:val="24"/>
          <w:szCs w:val="24"/>
        </w:rPr>
        <w:t>Major</w:t>
      </w:r>
      <w:r w:rsidRPr="00A7624F">
        <w:rPr>
          <w:rFonts w:ascii="Times New Roman" w:hAnsi="Times New Roman"/>
          <w:b/>
          <w:sz w:val="24"/>
          <w:szCs w:val="24"/>
        </w:rPr>
        <w:t xml:space="preserve"> Investor Status</w:t>
      </w:r>
    </w:p>
    <w:p w:rsidR="00D77798" w:rsidRPr="00A7624F" w:rsidRDefault="00D77798" w:rsidP="00D77798">
      <w:pPr>
        <w:tabs>
          <w:tab w:val="num" w:pos="1440"/>
        </w:tabs>
        <w:autoSpaceDE w:val="0"/>
        <w:autoSpaceDN w:val="0"/>
        <w:adjustRightInd w:val="0"/>
        <w:spacing w:after="0" w:line="480" w:lineRule="auto"/>
        <w:ind w:firstLineChars="300" w:firstLine="720"/>
        <w:rPr>
          <w:rFonts w:ascii="Times New Roman" w:hAnsi="Times New Roman"/>
          <w:sz w:val="24"/>
          <w:szCs w:val="24"/>
        </w:rPr>
      </w:pPr>
      <w:r w:rsidRPr="00A7624F">
        <w:rPr>
          <w:rFonts w:ascii="Times New Roman" w:hAnsi="Times New Roman"/>
          <w:sz w:val="24"/>
          <w:szCs w:val="24"/>
        </w:rPr>
        <w:t xml:space="preserve">Benson and </w:t>
      </w:r>
      <w:proofErr w:type="spellStart"/>
      <w:r w:rsidRPr="00A7624F">
        <w:rPr>
          <w:rFonts w:ascii="Times New Roman" w:hAnsi="Times New Roman"/>
          <w:sz w:val="24"/>
          <w:szCs w:val="24"/>
        </w:rPr>
        <w:t>Ziedonis</w:t>
      </w:r>
      <w:proofErr w:type="spellEnd"/>
      <w:r w:rsidRPr="00A7624F">
        <w:rPr>
          <w:rFonts w:ascii="Times New Roman" w:hAnsi="Times New Roman"/>
          <w:sz w:val="24"/>
          <w:szCs w:val="24"/>
        </w:rPr>
        <w:t>’ analysis reveals that CVC program structure (dedicated fund or not) influences acquisition performance because managers from different CVC programs vary in their abilities to manage CVC investments and to make decisions on acquiring (or not acquiring) their portfolio companies.  This finding implies that the negative abnormal returns may be still rooted in corporate investors’ failure to overcome asymmetric information, and some factors may have impacts on a corporate investor’s ability to mitigate asymme</w:t>
      </w:r>
      <w:r w:rsidR="002D5A61" w:rsidRPr="00A7624F">
        <w:rPr>
          <w:rFonts w:ascii="Times New Roman" w:hAnsi="Times New Roman"/>
          <w:sz w:val="24"/>
          <w:szCs w:val="24"/>
        </w:rPr>
        <w:t>tric information such as its i</w:t>
      </w:r>
      <w:r w:rsidRPr="00A7624F">
        <w:rPr>
          <w:rFonts w:ascii="Times New Roman" w:hAnsi="Times New Roman"/>
          <w:sz w:val="24"/>
          <w:szCs w:val="24"/>
        </w:rPr>
        <w:t>n-house R&amp;D activity and whether</w:t>
      </w:r>
      <w:r w:rsidR="002D5A61" w:rsidRPr="00A7624F">
        <w:rPr>
          <w:rFonts w:ascii="Times New Roman" w:hAnsi="Times New Roman"/>
          <w:sz w:val="24"/>
          <w:szCs w:val="24"/>
        </w:rPr>
        <w:t xml:space="preserve"> the</w:t>
      </w:r>
      <w:r w:rsidRPr="00A7624F">
        <w:rPr>
          <w:rFonts w:ascii="Times New Roman" w:hAnsi="Times New Roman"/>
          <w:sz w:val="24"/>
          <w:szCs w:val="24"/>
        </w:rPr>
        <w:t xml:space="preserve"> CVC investor is the </w:t>
      </w:r>
      <w:r w:rsidR="0052040D" w:rsidRPr="00A7624F">
        <w:rPr>
          <w:rFonts w:ascii="Times New Roman" w:hAnsi="Times New Roman"/>
          <w:sz w:val="24"/>
          <w:szCs w:val="24"/>
        </w:rPr>
        <w:t xml:space="preserve">major </w:t>
      </w:r>
      <w:r w:rsidRPr="00A7624F">
        <w:rPr>
          <w:rFonts w:ascii="Times New Roman" w:hAnsi="Times New Roman"/>
          <w:sz w:val="24"/>
          <w:szCs w:val="24"/>
        </w:rPr>
        <w:t xml:space="preserve">investor. </w:t>
      </w:r>
    </w:p>
    <w:p w:rsidR="00001FFA" w:rsidRPr="00A7624F" w:rsidRDefault="00001FFA" w:rsidP="00436E59">
      <w:pPr>
        <w:autoSpaceDE w:val="0"/>
        <w:autoSpaceDN w:val="0"/>
        <w:adjustRightInd w:val="0"/>
        <w:spacing w:after="0" w:line="480" w:lineRule="auto"/>
        <w:ind w:firstLine="720"/>
        <w:rPr>
          <w:rFonts w:ascii="Times New Roman" w:hAnsi="Times New Roman"/>
          <w:sz w:val="24"/>
          <w:szCs w:val="24"/>
        </w:rPr>
      </w:pPr>
      <w:r w:rsidRPr="00A7624F">
        <w:rPr>
          <w:rFonts w:ascii="Times New Roman" w:hAnsi="Times New Roman"/>
          <w:sz w:val="24"/>
          <w:szCs w:val="24"/>
        </w:rPr>
        <w:t xml:space="preserve">In house R&amp;D activity and CVC are two major ways for developing </w:t>
      </w:r>
      <w:proofErr w:type="gramStart"/>
      <w:r w:rsidRPr="00A7624F">
        <w:rPr>
          <w:rFonts w:ascii="Times New Roman" w:hAnsi="Times New Roman"/>
          <w:sz w:val="24"/>
          <w:szCs w:val="24"/>
        </w:rPr>
        <w:t>new technologies</w:t>
      </w:r>
      <w:proofErr w:type="gramEnd"/>
      <w:r w:rsidRPr="00A7624F">
        <w:rPr>
          <w:rFonts w:ascii="Times New Roman" w:hAnsi="Times New Roman"/>
          <w:sz w:val="24"/>
          <w:szCs w:val="24"/>
        </w:rPr>
        <w:t xml:space="preserve"> (</w:t>
      </w:r>
      <w:proofErr w:type="spellStart"/>
      <w:r w:rsidRPr="00A7624F">
        <w:rPr>
          <w:rFonts w:ascii="Times New Roman" w:hAnsi="Times New Roman"/>
          <w:sz w:val="24"/>
          <w:szCs w:val="24"/>
        </w:rPr>
        <w:t>Sahaym</w:t>
      </w:r>
      <w:proofErr w:type="spellEnd"/>
      <w:r w:rsidRPr="00A7624F">
        <w:rPr>
          <w:rFonts w:ascii="Times New Roman" w:hAnsi="Times New Roman"/>
          <w:sz w:val="24"/>
          <w:szCs w:val="24"/>
        </w:rPr>
        <w:t xml:space="preserve">, et al., 2010). </w:t>
      </w:r>
      <w:r w:rsidR="00436E59" w:rsidRPr="00A7624F">
        <w:rPr>
          <w:rFonts w:ascii="Times New Roman" w:hAnsi="Times New Roman"/>
          <w:sz w:val="24"/>
          <w:szCs w:val="24"/>
        </w:rPr>
        <w:t>The relationship between these two approaches has been studied in the literature</w:t>
      </w:r>
      <w:r w:rsidR="003E7998" w:rsidRPr="00A7624F">
        <w:rPr>
          <w:rFonts w:ascii="Times New Roman" w:hAnsi="Times New Roman"/>
          <w:sz w:val="24"/>
          <w:szCs w:val="24"/>
        </w:rPr>
        <w:t xml:space="preserve"> for a long time</w:t>
      </w:r>
      <w:r w:rsidR="00436E59" w:rsidRPr="00A7624F">
        <w:rPr>
          <w:rFonts w:ascii="Times New Roman" w:hAnsi="Times New Roman"/>
          <w:sz w:val="24"/>
          <w:szCs w:val="24"/>
        </w:rPr>
        <w:t xml:space="preserve">.  On one hand, </w:t>
      </w:r>
      <w:r w:rsidRPr="00A7624F">
        <w:rPr>
          <w:rFonts w:ascii="Times New Roman" w:hAnsi="Times New Roman"/>
          <w:sz w:val="24"/>
          <w:szCs w:val="24"/>
        </w:rPr>
        <w:t xml:space="preserve">CVC may substitute for </w:t>
      </w:r>
      <w:r w:rsidR="00436E59" w:rsidRPr="00A7624F">
        <w:rPr>
          <w:rFonts w:ascii="Times New Roman" w:hAnsi="Times New Roman"/>
          <w:sz w:val="24"/>
          <w:szCs w:val="24"/>
        </w:rPr>
        <w:t xml:space="preserve">internal R&amp;D because it offers </w:t>
      </w:r>
      <w:r w:rsidR="00436E59" w:rsidRPr="00A7624F">
        <w:rPr>
          <w:rFonts w:ascii="Times New Roman" w:hAnsi="Times New Roman"/>
          <w:sz w:val="24"/>
          <w:szCs w:val="24"/>
        </w:rPr>
        <w:lastRenderedPageBreak/>
        <w:t xml:space="preserve">CVC investors access to </w:t>
      </w:r>
      <w:proofErr w:type="gramStart"/>
      <w:r w:rsidR="00436E59" w:rsidRPr="00A7624F">
        <w:rPr>
          <w:rFonts w:ascii="Times New Roman" w:hAnsi="Times New Roman"/>
          <w:sz w:val="24"/>
          <w:szCs w:val="24"/>
        </w:rPr>
        <w:t>new technologies</w:t>
      </w:r>
      <w:proofErr w:type="gramEnd"/>
      <w:r w:rsidR="00436E59" w:rsidRPr="00A7624F">
        <w:rPr>
          <w:rFonts w:ascii="Times New Roman" w:hAnsi="Times New Roman"/>
          <w:sz w:val="24"/>
          <w:szCs w:val="24"/>
        </w:rPr>
        <w:t xml:space="preserve"> developed by entrepreneurial companies</w:t>
      </w:r>
      <w:r w:rsidR="0049639B" w:rsidRPr="00A7624F">
        <w:rPr>
          <w:rFonts w:ascii="Times New Roman" w:hAnsi="Times New Roman"/>
          <w:sz w:val="24"/>
          <w:szCs w:val="24"/>
        </w:rPr>
        <w:t>, which may lead to negative market reactions to CVC acquisitions</w:t>
      </w:r>
      <w:r w:rsidR="00436E59" w:rsidRPr="00A7624F">
        <w:rPr>
          <w:rFonts w:ascii="Times New Roman" w:hAnsi="Times New Roman"/>
          <w:sz w:val="24"/>
          <w:szCs w:val="24"/>
        </w:rPr>
        <w:t xml:space="preserve">.  On the other hand, in house R&amp;D can generate </w:t>
      </w:r>
      <w:r w:rsidRPr="00A7624F">
        <w:rPr>
          <w:rFonts w:ascii="Times New Roman" w:hAnsi="Times New Roman"/>
          <w:sz w:val="24"/>
          <w:szCs w:val="24"/>
        </w:rPr>
        <w:t xml:space="preserve">knowledge </w:t>
      </w:r>
      <w:r w:rsidR="00436E59" w:rsidRPr="00A7624F">
        <w:rPr>
          <w:rFonts w:ascii="Times New Roman" w:hAnsi="Times New Roman"/>
          <w:sz w:val="24"/>
          <w:szCs w:val="24"/>
        </w:rPr>
        <w:t xml:space="preserve">and thus enhance </w:t>
      </w:r>
      <w:r w:rsidRPr="00A7624F">
        <w:rPr>
          <w:rFonts w:ascii="Times New Roman" w:hAnsi="Times New Roman"/>
          <w:sz w:val="24"/>
          <w:szCs w:val="24"/>
        </w:rPr>
        <w:t>the</w:t>
      </w:r>
      <w:r w:rsidR="00436E59" w:rsidRPr="00A7624F">
        <w:rPr>
          <w:rFonts w:ascii="Times New Roman" w:hAnsi="Times New Roman"/>
          <w:sz w:val="24"/>
          <w:szCs w:val="24"/>
        </w:rPr>
        <w:t xml:space="preserve"> corporate investor’s</w:t>
      </w:r>
      <w:r w:rsidRPr="00A7624F">
        <w:rPr>
          <w:rFonts w:ascii="Times New Roman" w:hAnsi="Times New Roman"/>
          <w:sz w:val="24"/>
          <w:szCs w:val="24"/>
        </w:rPr>
        <w:t xml:space="preserve"> ability to </w:t>
      </w:r>
      <w:r w:rsidR="00436E59" w:rsidRPr="00A7624F">
        <w:rPr>
          <w:rFonts w:ascii="Times New Roman" w:hAnsi="Times New Roman"/>
          <w:sz w:val="24"/>
          <w:szCs w:val="24"/>
        </w:rPr>
        <w:t>r</w:t>
      </w:r>
      <w:r w:rsidRPr="00A7624F">
        <w:rPr>
          <w:rFonts w:ascii="Times New Roman" w:hAnsi="Times New Roman"/>
          <w:sz w:val="24"/>
          <w:szCs w:val="24"/>
        </w:rPr>
        <w:t>ecogniz</w:t>
      </w:r>
      <w:r w:rsidR="00436E59" w:rsidRPr="00A7624F">
        <w:rPr>
          <w:rFonts w:ascii="Times New Roman" w:hAnsi="Times New Roman"/>
          <w:sz w:val="24"/>
          <w:szCs w:val="24"/>
        </w:rPr>
        <w:t>e the value of the technologies</w:t>
      </w:r>
      <w:r w:rsidR="0049639B" w:rsidRPr="00A7624F">
        <w:rPr>
          <w:rFonts w:ascii="Times New Roman" w:hAnsi="Times New Roman"/>
          <w:sz w:val="24"/>
          <w:szCs w:val="24"/>
        </w:rPr>
        <w:t xml:space="preserve"> and</w:t>
      </w:r>
      <w:r w:rsidR="00436E59" w:rsidRPr="00A7624F">
        <w:rPr>
          <w:rFonts w:ascii="Times New Roman" w:hAnsi="Times New Roman"/>
          <w:sz w:val="24"/>
          <w:szCs w:val="24"/>
        </w:rPr>
        <w:t xml:space="preserve"> identify potential acquisition targets</w:t>
      </w:r>
      <w:r w:rsidR="0049639B" w:rsidRPr="00A7624F">
        <w:rPr>
          <w:rFonts w:ascii="Times New Roman" w:hAnsi="Times New Roman"/>
          <w:sz w:val="24"/>
          <w:szCs w:val="24"/>
        </w:rPr>
        <w:t xml:space="preserve">, thereby helping CVC investors general more shareholder values when the acquisition takes place. </w:t>
      </w:r>
      <w:r w:rsidR="00972F90" w:rsidRPr="00A7624F">
        <w:rPr>
          <w:rFonts w:ascii="Times New Roman" w:hAnsi="Times New Roman"/>
          <w:sz w:val="24"/>
          <w:szCs w:val="24"/>
        </w:rPr>
        <w:t xml:space="preserve"> </w:t>
      </w:r>
    </w:p>
    <w:p w:rsidR="00972F90" w:rsidRPr="00A7624F" w:rsidRDefault="00972F90" w:rsidP="00972F90">
      <w:pPr>
        <w:autoSpaceDE w:val="0"/>
        <w:autoSpaceDN w:val="0"/>
        <w:adjustRightInd w:val="0"/>
        <w:spacing w:after="0" w:line="480" w:lineRule="auto"/>
        <w:ind w:firstLine="720"/>
        <w:rPr>
          <w:rFonts w:ascii="Times New Roman" w:hAnsi="Times New Roman"/>
          <w:sz w:val="24"/>
          <w:szCs w:val="24"/>
        </w:rPr>
      </w:pPr>
      <w:r w:rsidRPr="00A7624F">
        <w:rPr>
          <w:rFonts w:ascii="Times New Roman" w:hAnsi="Times New Roman"/>
          <w:sz w:val="24"/>
          <w:szCs w:val="24"/>
        </w:rPr>
        <w:t>The literature has revealed several mechanisms that facilitate the corporate investor’s knowledge access and transfer in CVC activity (</w:t>
      </w:r>
      <w:r w:rsidRPr="00A7624F">
        <w:rPr>
          <w:rFonts w:ascii="Times New Roman" w:hAnsi="Times New Roman"/>
          <w:i/>
          <w:sz w:val="24"/>
          <w:szCs w:val="24"/>
        </w:rPr>
        <w:t>e.g.,</w:t>
      </w:r>
      <w:r w:rsidRPr="00A7624F">
        <w:rPr>
          <w:rFonts w:ascii="Times New Roman" w:hAnsi="Times New Roman"/>
          <w:sz w:val="24"/>
          <w:szCs w:val="24"/>
        </w:rPr>
        <w:t xml:space="preserve"> </w:t>
      </w:r>
      <w:proofErr w:type="spellStart"/>
      <w:r w:rsidRPr="00A7624F">
        <w:rPr>
          <w:rFonts w:ascii="Times New Roman" w:hAnsi="Times New Roman"/>
          <w:sz w:val="24"/>
          <w:szCs w:val="24"/>
        </w:rPr>
        <w:t>Dushnitsky</w:t>
      </w:r>
      <w:proofErr w:type="spellEnd"/>
      <w:r w:rsidRPr="00A7624F">
        <w:rPr>
          <w:rFonts w:ascii="Times New Roman" w:hAnsi="Times New Roman"/>
          <w:sz w:val="24"/>
          <w:szCs w:val="24"/>
        </w:rPr>
        <w:t xml:space="preserve"> &amp; Lenox 2005, 2006; </w:t>
      </w:r>
      <w:proofErr w:type="spellStart"/>
      <w:r w:rsidRPr="00A7624F">
        <w:rPr>
          <w:rFonts w:ascii="Times New Roman" w:hAnsi="Times New Roman"/>
          <w:sz w:val="24"/>
          <w:szCs w:val="24"/>
        </w:rPr>
        <w:t>Dushnitsky</w:t>
      </w:r>
      <w:proofErr w:type="spellEnd"/>
      <w:r w:rsidRPr="00A7624F">
        <w:rPr>
          <w:rFonts w:ascii="Times New Roman" w:hAnsi="Times New Roman"/>
          <w:sz w:val="24"/>
          <w:szCs w:val="24"/>
        </w:rPr>
        <w:t xml:space="preserve"> &amp; Shaver, 2009), including pre-investment due-diligence process (</w:t>
      </w:r>
      <w:proofErr w:type="spellStart"/>
      <w:r w:rsidRPr="00A7624F">
        <w:rPr>
          <w:rFonts w:ascii="Times New Roman" w:hAnsi="Times New Roman"/>
          <w:sz w:val="24"/>
          <w:szCs w:val="24"/>
        </w:rPr>
        <w:t>Dushnitsky</w:t>
      </w:r>
      <w:proofErr w:type="spellEnd"/>
      <w:r w:rsidRPr="00A7624F">
        <w:rPr>
          <w:rFonts w:ascii="Times New Roman" w:hAnsi="Times New Roman"/>
          <w:sz w:val="24"/>
          <w:szCs w:val="24"/>
        </w:rPr>
        <w:t xml:space="preserve"> &amp; Lenox, 2005),  post-investment board seats/observation rights (</w:t>
      </w:r>
      <w:proofErr w:type="spellStart"/>
      <w:r w:rsidRPr="00A7624F">
        <w:rPr>
          <w:rFonts w:ascii="Times New Roman" w:hAnsi="Times New Roman"/>
          <w:sz w:val="24"/>
          <w:szCs w:val="24"/>
        </w:rPr>
        <w:t>Bottazzi</w:t>
      </w:r>
      <w:proofErr w:type="spellEnd"/>
      <w:r w:rsidRPr="00A7624F">
        <w:rPr>
          <w:rFonts w:ascii="Times New Roman" w:hAnsi="Times New Roman"/>
          <w:sz w:val="24"/>
          <w:szCs w:val="24"/>
        </w:rPr>
        <w:t xml:space="preserve">, </w:t>
      </w:r>
      <w:proofErr w:type="spellStart"/>
      <w:r w:rsidRPr="00A7624F">
        <w:rPr>
          <w:rFonts w:ascii="Times New Roman" w:hAnsi="Times New Roman"/>
          <w:sz w:val="24"/>
          <w:szCs w:val="24"/>
        </w:rPr>
        <w:t>DaRin</w:t>
      </w:r>
      <w:proofErr w:type="spellEnd"/>
      <w:r w:rsidRPr="00A7624F">
        <w:rPr>
          <w:rFonts w:ascii="Times New Roman" w:hAnsi="Times New Roman"/>
          <w:sz w:val="24"/>
          <w:szCs w:val="24"/>
        </w:rPr>
        <w:t xml:space="preserve">, &amp; Hellmann, 2004; </w:t>
      </w:r>
      <w:proofErr w:type="spellStart"/>
      <w:r w:rsidRPr="00A7624F">
        <w:rPr>
          <w:rFonts w:ascii="Times New Roman" w:hAnsi="Times New Roman"/>
          <w:sz w:val="24"/>
          <w:szCs w:val="24"/>
        </w:rPr>
        <w:t>Dushnitsky</w:t>
      </w:r>
      <w:proofErr w:type="spellEnd"/>
      <w:r w:rsidRPr="00A7624F">
        <w:rPr>
          <w:rFonts w:ascii="Times New Roman" w:hAnsi="Times New Roman"/>
          <w:sz w:val="24"/>
          <w:szCs w:val="24"/>
        </w:rPr>
        <w:t xml:space="preserve"> &amp; Lenox, 2005, 2006; Hill, </w:t>
      </w:r>
      <w:proofErr w:type="spellStart"/>
      <w:r w:rsidRPr="00A7624F">
        <w:rPr>
          <w:rFonts w:ascii="Times New Roman" w:hAnsi="Times New Roman"/>
          <w:sz w:val="24"/>
          <w:szCs w:val="24"/>
        </w:rPr>
        <w:t>Maula</w:t>
      </w:r>
      <w:proofErr w:type="spellEnd"/>
      <w:r w:rsidRPr="00A7624F">
        <w:rPr>
          <w:rFonts w:ascii="Times New Roman" w:hAnsi="Times New Roman"/>
          <w:sz w:val="24"/>
          <w:szCs w:val="24"/>
        </w:rPr>
        <w:t xml:space="preserve">, &amp; </w:t>
      </w:r>
      <w:proofErr w:type="spellStart"/>
      <w:r w:rsidRPr="00A7624F">
        <w:rPr>
          <w:rFonts w:ascii="Times New Roman" w:hAnsi="Times New Roman"/>
          <w:sz w:val="24"/>
          <w:szCs w:val="24"/>
        </w:rPr>
        <w:t>Birkinshaw</w:t>
      </w:r>
      <w:proofErr w:type="spellEnd"/>
      <w:r w:rsidRPr="00A7624F">
        <w:rPr>
          <w:rFonts w:ascii="Times New Roman" w:hAnsi="Times New Roman"/>
          <w:sz w:val="24"/>
          <w:szCs w:val="24"/>
        </w:rPr>
        <w:t>, 2009), onsite visits/monitoring (</w:t>
      </w:r>
      <w:proofErr w:type="spellStart"/>
      <w:r w:rsidRPr="00A7624F">
        <w:rPr>
          <w:rFonts w:ascii="Times New Roman" w:hAnsi="Times New Roman"/>
          <w:sz w:val="24"/>
          <w:szCs w:val="24"/>
        </w:rPr>
        <w:t>Bottazzi</w:t>
      </w:r>
      <w:proofErr w:type="spellEnd"/>
      <w:r w:rsidRPr="00A7624F">
        <w:rPr>
          <w:rFonts w:ascii="Times New Roman" w:hAnsi="Times New Roman"/>
          <w:sz w:val="24"/>
          <w:szCs w:val="24"/>
        </w:rPr>
        <w:t xml:space="preserve"> </w:t>
      </w:r>
      <w:r w:rsidRPr="00A7624F">
        <w:rPr>
          <w:rFonts w:ascii="Times New Roman" w:hAnsi="Times New Roman"/>
          <w:i/>
          <w:sz w:val="24"/>
          <w:szCs w:val="24"/>
        </w:rPr>
        <w:t>et al.</w:t>
      </w:r>
      <w:r w:rsidRPr="00A7624F">
        <w:rPr>
          <w:rFonts w:ascii="Times New Roman" w:hAnsi="Times New Roman"/>
          <w:sz w:val="24"/>
          <w:szCs w:val="24"/>
        </w:rPr>
        <w:t>, 2004), and formation of liaisons between in-house divisions and portfolio companies (</w:t>
      </w:r>
      <w:proofErr w:type="spellStart"/>
      <w:r w:rsidRPr="00A7624F">
        <w:rPr>
          <w:rFonts w:ascii="Times New Roman" w:hAnsi="Times New Roman"/>
          <w:sz w:val="24"/>
          <w:szCs w:val="24"/>
        </w:rPr>
        <w:t>Dushnitsky</w:t>
      </w:r>
      <w:proofErr w:type="spellEnd"/>
      <w:r w:rsidRPr="00A7624F">
        <w:rPr>
          <w:rFonts w:ascii="Times New Roman" w:hAnsi="Times New Roman"/>
          <w:sz w:val="24"/>
          <w:szCs w:val="24"/>
        </w:rPr>
        <w:t xml:space="preserve"> &amp; Lenox, 2006).  </w:t>
      </w:r>
      <w:r w:rsidR="00923B96" w:rsidRPr="00A7624F">
        <w:rPr>
          <w:rFonts w:ascii="Times New Roman" w:hAnsi="Times New Roman"/>
          <w:sz w:val="24"/>
          <w:szCs w:val="24"/>
        </w:rPr>
        <w:t xml:space="preserve">When a CVC investor is a major investor in its portfolio company, it is more likely to have obtained sufficient information as needed through these mechanisms to reduce asymmetric information problem in the acquisition process then when a CVC investor is not a major investor.  In addition, as a major investor, CVC investor has committed a lot of resources into </w:t>
      </w:r>
      <w:proofErr w:type="gramStart"/>
      <w:r w:rsidR="00923B96" w:rsidRPr="00A7624F">
        <w:rPr>
          <w:rFonts w:ascii="Times New Roman" w:hAnsi="Times New Roman"/>
          <w:sz w:val="24"/>
          <w:szCs w:val="24"/>
        </w:rPr>
        <w:t>new technologies</w:t>
      </w:r>
      <w:proofErr w:type="gramEnd"/>
      <w:r w:rsidR="00923B96" w:rsidRPr="00A7624F">
        <w:rPr>
          <w:rFonts w:ascii="Times New Roman" w:hAnsi="Times New Roman"/>
          <w:sz w:val="24"/>
          <w:szCs w:val="24"/>
        </w:rPr>
        <w:t xml:space="preserve"> developed by its portfolio company, and the market would be more likely to view such CVC investments as substitute to in-house R&amp;D. Under this condition</w:t>
      </w:r>
      <w:r w:rsidR="00DE5BC9" w:rsidRPr="00A7624F">
        <w:rPr>
          <w:rFonts w:ascii="Times New Roman" w:hAnsi="Times New Roman"/>
          <w:sz w:val="24"/>
          <w:szCs w:val="24"/>
        </w:rPr>
        <w:t xml:space="preserve"> </w:t>
      </w:r>
      <w:proofErr w:type="gramStart"/>
      <w:r w:rsidR="00DE5BC9" w:rsidRPr="00A7624F">
        <w:rPr>
          <w:rFonts w:ascii="Times New Roman" w:hAnsi="Times New Roman"/>
          <w:sz w:val="24"/>
          <w:szCs w:val="24"/>
        </w:rPr>
        <w:t>a high level</w:t>
      </w:r>
      <w:proofErr w:type="gramEnd"/>
      <w:r w:rsidR="00DE5BC9" w:rsidRPr="00A7624F">
        <w:rPr>
          <w:rFonts w:ascii="Times New Roman" w:hAnsi="Times New Roman"/>
          <w:sz w:val="24"/>
          <w:szCs w:val="24"/>
        </w:rPr>
        <w:t xml:space="preserve"> of internal R&amp;D activity may be unnecessary or redundant with new technological assets CVC investor would obtain through the acquisition.  Thus, the market may react negatively to such acquisition announcement.  </w:t>
      </w:r>
    </w:p>
    <w:p w:rsidR="00D41979" w:rsidRPr="00A7624F" w:rsidRDefault="00DE5BC9" w:rsidP="0092044C">
      <w:pPr>
        <w:autoSpaceDE w:val="0"/>
        <w:autoSpaceDN w:val="0"/>
        <w:adjustRightInd w:val="0"/>
        <w:spacing w:after="0" w:line="480" w:lineRule="auto"/>
        <w:ind w:firstLine="720"/>
        <w:rPr>
          <w:rFonts w:ascii="Times New Roman" w:hAnsi="Times New Roman"/>
          <w:sz w:val="24"/>
          <w:szCs w:val="24"/>
        </w:rPr>
      </w:pPr>
      <w:r w:rsidRPr="00A7624F">
        <w:rPr>
          <w:rFonts w:ascii="Times New Roman" w:hAnsi="Times New Roman"/>
          <w:sz w:val="24"/>
          <w:szCs w:val="24"/>
        </w:rPr>
        <w:t>On the other hand, t</w:t>
      </w:r>
      <w:r w:rsidR="003477EB" w:rsidRPr="00A7624F">
        <w:rPr>
          <w:rFonts w:ascii="Times New Roman" w:hAnsi="Times New Roman"/>
          <w:sz w:val="24"/>
          <w:szCs w:val="24"/>
        </w:rPr>
        <w:t xml:space="preserve">he positive impact of in-house R&amp;D </w:t>
      </w:r>
      <w:r w:rsidRPr="00A7624F">
        <w:rPr>
          <w:rFonts w:ascii="Times New Roman" w:hAnsi="Times New Roman"/>
          <w:sz w:val="24"/>
          <w:szCs w:val="24"/>
        </w:rPr>
        <w:t xml:space="preserve">on market reaction </w:t>
      </w:r>
      <w:r w:rsidR="003477EB" w:rsidRPr="00A7624F">
        <w:rPr>
          <w:rFonts w:ascii="Times New Roman" w:hAnsi="Times New Roman"/>
          <w:sz w:val="24"/>
          <w:szCs w:val="24"/>
        </w:rPr>
        <w:t xml:space="preserve">may become </w:t>
      </w:r>
      <w:r w:rsidR="0084338C" w:rsidRPr="00A7624F">
        <w:rPr>
          <w:rFonts w:ascii="Times New Roman" w:hAnsi="Times New Roman"/>
          <w:sz w:val="24"/>
          <w:szCs w:val="24"/>
        </w:rPr>
        <w:t>significant</w:t>
      </w:r>
      <w:r w:rsidR="003477EB" w:rsidRPr="00A7624F">
        <w:rPr>
          <w:rFonts w:ascii="Times New Roman" w:hAnsi="Times New Roman"/>
          <w:sz w:val="24"/>
          <w:szCs w:val="24"/>
        </w:rPr>
        <w:t xml:space="preserve"> </w:t>
      </w:r>
      <w:r w:rsidR="00972F90" w:rsidRPr="00A7624F">
        <w:rPr>
          <w:rFonts w:ascii="Times New Roman" w:hAnsi="Times New Roman"/>
          <w:sz w:val="24"/>
          <w:szCs w:val="24"/>
        </w:rPr>
        <w:t>when CVC investor is not a major investor</w:t>
      </w:r>
      <w:r w:rsidR="003477EB" w:rsidRPr="00A7624F">
        <w:rPr>
          <w:rFonts w:ascii="Times New Roman" w:hAnsi="Times New Roman"/>
          <w:sz w:val="24"/>
          <w:szCs w:val="24"/>
        </w:rPr>
        <w:t xml:space="preserve">.   </w:t>
      </w:r>
      <w:r w:rsidR="0084338C" w:rsidRPr="00A7624F">
        <w:rPr>
          <w:rFonts w:ascii="Times New Roman" w:hAnsi="Times New Roman"/>
          <w:sz w:val="24"/>
          <w:szCs w:val="24"/>
        </w:rPr>
        <w:t>When a CVC investor is not a major investor, such</w:t>
      </w:r>
      <w:r w:rsidR="00D41979" w:rsidRPr="00A7624F">
        <w:rPr>
          <w:rFonts w:ascii="Times New Roman" w:hAnsi="Times New Roman"/>
          <w:sz w:val="24"/>
          <w:szCs w:val="24"/>
        </w:rPr>
        <w:t xml:space="preserve"> small investment tie with portfolio companies ma</w:t>
      </w:r>
      <w:r w:rsidR="003477EB" w:rsidRPr="00A7624F">
        <w:rPr>
          <w:rFonts w:ascii="Times New Roman" w:hAnsi="Times New Roman"/>
          <w:sz w:val="24"/>
          <w:szCs w:val="24"/>
        </w:rPr>
        <w:t xml:space="preserve">y not help </w:t>
      </w:r>
      <w:r w:rsidR="0084338C" w:rsidRPr="00A7624F">
        <w:rPr>
          <w:rFonts w:ascii="Times New Roman" w:hAnsi="Times New Roman"/>
          <w:sz w:val="24"/>
          <w:szCs w:val="24"/>
        </w:rPr>
        <w:t>it</w:t>
      </w:r>
      <w:r w:rsidR="00D41979" w:rsidRPr="00A7624F">
        <w:rPr>
          <w:rFonts w:ascii="Times New Roman" w:hAnsi="Times New Roman"/>
          <w:sz w:val="24"/>
          <w:szCs w:val="24"/>
        </w:rPr>
        <w:t xml:space="preserve"> obtain information </w:t>
      </w:r>
      <w:r w:rsidR="00D41979" w:rsidRPr="00A7624F">
        <w:rPr>
          <w:rFonts w:ascii="Times New Roman" w:hAnsi="Times New Roman"/>
          <w:sz w:val="24"/>
          <w:szCs w:val="24"/>
        </w:rPr>
        <w:lastRenderedPageBreak/>
        <w:t>as needed</w:t>
      </w:r>
      <w:r w:rsidRPr="00A7624F">
        <w:rPr>
          <w:rFonts w:ascii="Times New Roman" w:hAnsi="Times New Roman"/>
          <w:sz w:val="24"/>
          <w:szCs w:val="24"/>
        </w:rPr>
        <w:t xml:space="preserve"> if they are not the major investor</w:t>
      </w:r>
      <w:r w:rsidR="00D41979" w:rsidRPr="00A7624F">
        <w:rPr>
          <w:rFonts w:ascii="Times New Roman" w:hAnsi="Times New Roman"/>
          <w:sz w:val="24"/>
          <w:szCs w:val="24"/>
        </w:rPr>
        <w:t>.  With minor investor status, some of the mechanisms</w:t>
      </w:r>
      <w:r w:rsidRPr="00A7624F">
        <w:rPr>
          <w:rFonts w:ascii="Times New Roman" w:hAnsi="Times New Roman"/>
          <w:sz w:val="24"/>
          <w:szCs w:val="24"/>
        </w:rPr>
        <w:t xml:space="preserve"> mentioned above</w:t>
      </w:r>
      <w:r w:rsidR="00D41979" w:rsidRPr="00A7624F">
        <w:rPr>
          <w:rFonts w:ascii="Times New Roman" w:hAnsi="Times New Roman"/>
          <w:sz w:val="24"/>
          <w:szCs w:val="24"/>
        </w:rPr>
        <w:t xml:space="preserve"> will become unavailable to corporate investors such as board seats/observation rights.  In addition, with minor equity stake, CVC managers will be less motivated to regularly visit portfolio companies or extensively monitor/coach portfolio companies, and in turn, they will be less likely to learn about portfolio company’s new markets, the general trajectory of knowledge development in specific scientific or technological domains that includes new frontiers and dead ends, general insights about new or existing technologies, and potential competitors or collaborators and so on.  Thus, they may miss critical information to evaluate portfolio companies as potential acquisition targets.  Moreover, CVC relationships are also associated with misappropriation concerns (</w:t>
      </w:r>
      <w:proofErr w:type="spellStart"/>
      <w:r w:rsidR="00D41979" w:rsidRPr="00A7624F">
        <w:rPr>
          <w:rFonts w:ascii="Times New Roman" w:hAnsi="Times New Roman"/>
          <w:sz w:val="24"/>
          <w:szCs w:val="24"/>
        </w:rPr>
        <w:t>Maula</w:t>
      </w:r>
      <w:proofErr w:type="spellEnd"/>
      <w:r w:rsidR="00D41979" w:rsidRPr="00A7624F">
        <w:rPr>
          <w:rFonts w:ascii="Times New Roman" w:hAnsi="Times New Roman"/>
          <w:sz w:val="24"/>
          <w:szCs w:val="24"/>
        </w:rPr>
        <w:t xml:space="preserve"> et al, 2009).  The potential of misappropriation is “especially critical for new firms because their intellectual property is more easily appropriated than are the resources of established firms, such as manufacturing facilities” (Katila, Rosenberger, &amp; Eisenhardt, 2008: 297). The misappropriation concerns can become severe when corporate investors take a minor equity position that portfolio companies view as a signal of corporate investor’s lack of long-term commitment.  The lack of trust would urge portfolio companies to take defensive mechanisms preventing corporate investors from the access to core technologies and strategic information</w:t>
      </w:r>
      <w:r w:rsidR="00972F90" w:rsidRPr="00A7624F">
        <w:rPr>
          <w:rFonts w:ascii="Times New Roman" w:hAnsi="Times New Roman"/>
          <w:sz w:val="24"/>
          <w:szCs w:val="24"/>
        </w:rPr>
        <w:t xml:space="preserve"> (Katila et al, 2008)</w:t>
      </w:r>
      <w:r w:rsidR="00D41979" w:rsidRPr="00A7624F">
        <w:rPr>
          <w:rFonts w:ascii="Times New Roman" w:hAnsi="Times New Roman"/>
          <w:sz w:val="24"/>
          <w:szCs w:val="24"/>
        </w:rPr>
        <w:t xml:space="preserve">.  </w:t>
      </w:r>
      <w:r w:rsidRPr="00A7624F">
        <w:rPr>
          <w:rFonts w:ascii="Times New Roman" w:hAnsi="Times New Roman"/>
          <w:sz w:val="24"/>
          <w:szCs w:val="24"/>
        </w:rPr>
        <w:t xml:space="preserve">Some of the information gaps could be overcome if the CVC investor has strong in-house R&amp;D </w:t>
      </w:r>
      <w:r w:rsidR="0052040D" w:rsidRPr="00A7624F">
        <w:rPr>
          <w:rFonts w:ascii="Times New Roman" w:hAnsi="Times New Roman"/>
          <w:sz w:val="24"/>
          <w:szCs w:val="24"/>
        </w:rPr>
        <w:t>that could generate knowledge and thus enhance the corporate investor’s ability to recognize the value of the technologies and identify potential acquisition targets.</w:t>
      </w:r>
    </w:p>
    <w:p w:rsidR="00D41979" w:rsidRPr="00A7624F" w:rsidRDefault="00D41979" w:rsidP="0092044C">
      <w:pPr>
        <w:autoSpaceDE w:val="0"/>
        <w:autoSpaceDN w:val="0"/>
        <w:adjustRightInd w:val="0"/>
        <w:spacing w:after="0" w:line="480" w:lineRule="auto"/>
        <w:ind w:firstLine="720"/>
        <w:rPr>
          <w:rFonts w:ascii="Times New Roman" w:hAnsi="Times New Roman"/>
          <w:sz w:val="24"/>
          <w:szCs w:val="24"/>
        </w:rPr>
      </w:pPr>
      <w:r w:rsidRPr="00A7624F">
        <w:rPr>
          <w:rFonts w:ascii="Times New Roman" w:hAnsi="Times New Roman"/>
          <w:sz w:val="24"/>
          <w:szCs w:val="24"/>
        </w:rPr>
        <w:t>Based on the above argument, we propose:</w:t>
      </w:r>
    </w:p>
    <w:p w:rsidR="0052040D" w:rsidRPr="00A7624F" w:rsidRDefault="00D41979" w:rsidP="0052040D">
      <w:pPr>
        <w:autoSpaceDE w:val="0"/>
        <w:autoSpaceDN w:val="0"/>
        <w:adjustRightInd w:val="0"/>
        <w:spacing w:after="0" w:line="480" w:lineRule="auto"/>
        <w:ind w:firstLine="720"/>
        <w:rPr>
          <w:rFonts w:ascii="Times New Roman" w:hAnsi="Times New Roman"/>
          <w:i/>
          <w:sz w:val="24"/>
          <w:szCs w:val="24"/>
        </w:rPr>
      </w:pPr>
      <w:r w:rsidRPr="00A7624F">
        <w:rPr>
          <w:rFonts w:ascii="Times New Roman" w:hAnsi="Times New Roman"/>
          <w:sz w:val="24"/>
          <w:szCs w:val="24"/>
        </w:rPr>
        <w:t>H</w:t>
      </w:r>
      <w:r w:rsidR="003477EB" w:rsidRPr="00A7624F">
        <w:rPr>
          <w:rFonts w:ascii="Times New Roman" w:hAnsi="Times New Roman"/>
          <w:sz w:val="24"/>
          <w:szCs w:val="24"/>
        </w:rPr>
        <w:t>2</w:t>
      </w:r>
      <w:r w:rsidRPr="00A7624F">
        <w:rPr>
          <w:rFonts w:ascii="Times New Roman" w:hAnsi="Times New Roman"/>
          <w:sz w:val="24"/>
          <w:szCs w:val="24"/>
        </w:rPr>
        <w:t>:</w:t>
      </w:r>
      <w:r w:rsidR="0052040D" w:rsidRPr="00A7624F">
        <w:rPr>
          <w:rFonts w:ascii="Times New Roman" w:hAnsi="Times New Roman"/>
          <w:i/>
          <w:sz w:val="24"/>
          <w:szCs w:val="24"/>
        </w:rPr>
        <w:t xml:space="preserve"> Major</w:t>
      </w:r>
      <w:r w:rsidRPr="00A7624F">
        <w:rPr>
          <w:rFonts w:ascii="Times New Roman" w:hAnsi="Times New Roman"/>
          <w:i/>
          <w:sz w:val="24"/>
          <w:szCs w:val="24"/>
        </w:rPr>
        <w:t xml:space="preserve"> investor status of a corporate investor will </w:t>
      </w:r>
      <w:r w:rsidR="0052040D" w:rsidRPr="00A7624F">
        <w:rPr>
          <w:rFonts w:ascii="Times New Roman" w:hAnsi="Times New Roman"/>
          <w:i/>
          <w:sz w:val="24"/>
          <w:szCs w:val="24"/>
        </w:rPr>
        <w:t xml:space="preserve">moderate the relationship between CVC investor’s in-house R&amp;D intensity and market reaction to the acquisition announcement.  </w:t>
      </w:r>
      <w:r w:rsidR="0052040D" w:rsidRPr="00A7624F">
        <w:rPr>
          <w:rFonts w:ascii="Times New Roman" w:hAnsi="Times New Roman"/>
          <w:i/>
          <w:sz w:val="24"/>
          <w:szCs w:val="24"/>
        </w:rPr>
        <w:lastRenderedPageBreak/>
        <w:t xml:space="preserve">That is, when CVC investor is the major investor, such a relationship is negative; when CVC investor is not the major investor, the relationship becomes positive. </w:t>
      </w:r>
    </w:p>
    <w:p w:rsidR="0052040D" w:rsidRPr="00A7624F" w:rsidRDefault="0052040D" w:rsidP="0052040D">
      <w:pPr>
        <w:autoSpaceDE w:val="0"/>
        <w:autoSpaceDN w:val="0"/>
        <w:adjustRightInd w:val="0"/>
        <w:spacing w:after="0" w:line="480" w:lineRule="auto"/>
        <w:rPr>
          <w:rFonts w:ascii="Times New Roman" w:hAnsi="Times New Roman"/>
          <w:i/>
          <w:sz w:val="24"/>
          <w:szCs w:val="24"/>
        </w:rPr>
      </w:pPr>
      <w:r w:rsidRPr="00A7624F">
        <w:rPr>
          <w:rFonts w:ascii="Times New Roman" w:hAnsi="Times New Roman"/>
          <w:b/>
          <w:sz w:val="24"/>
          <w:szCs w:val="24"/>
        </w:rPr>
        <w:t>Third-party Acquirer In-House R&amp;D and CVC Major Investor Status</w:t>
      </w:r>
    </w:p>
    <w:p w:rsidR="003E7FED" w:rsidRPr="00A7624F" w:rsidRDefault="00D41979" w:rsidP="0092044C">
      <w:pPr>
        <w:pStyle w:val="NoSpacing"/>
        <w:spacing w:line="480" w:lineRule="auto"/>
        <w:ind w:firstLine="720"/>
        <w:rPr>
          <w:rFonts w:ascii="Times New Roman" w:hAnsi="Times New Roman"/>
          <w:sz w:val="24"/>
          <w:szCs w:val="24"/>
        </w:rPr>
      </w:pPr>
      <w:r w:rsidRPr="00A7624F">
        <w:rPr>
          <w:rFonts w:ascii="Times New Roman" w:hAnsi="Times New Roman"/>
          <w:sz w:val="24"/>
          <w:szCs w:val="24"/>
        </w:rPr>
        <w:t xml:space="preserve">As the statistics exhibits, </w:t>
      </w:r>
      <w:proofErr w:type="gramStart"/>
      <w:r w:rsidRPr="00A7624F">
        <w:rPr>
          <w:rFonts w:ascii="Times New Roman" w:hAnsi="Times New Roman"/>
          <w:sz w:val="24"/>
          <w:szCs w:val="24"/>
        </w:rPr>
        <w:t>the majority of</w:t>
      </w:r>
      <w:proofErr w:type="gramEnd"/>
      <w:r w:rsidRPr="00A7624F">
        <w:rPr>
          <w:rFonts w:ascii="Times New Roman" w:hAnsi="Times New Roman"/>
          <w:sz w:val="24"/>
          <w:szCs w:val="24"/>
        </w:rPr>
        <w:t xml:space="preserve"> portfolio companies are acquired by non-investors, rather than their CVC investors.  </w:t>
      </w:r>
      <w:r w:rsidR="00B52156" w:rsidRPr="00A7624F">
        <w:rPr>
          <w:rFonts w:ascii="Times New Roman" w:hAnsi="Times New Roman"/>
          <w:sz w:val="24"/>
          <w:szCs w:val="24"/>
        </w:rPr>
        <w:t xml:space="preserve">In general, without the preexisting investment ties, third-party acquirers face more severe asymmetric information issues in the acquisition process compared to CVC investors who has such pre-acquisition relationships.  But if third-party acquirers have strong in-house R&amp;D that could generate knowledge to mitigate the problem of asymmetric information, and through in-house R&amp;D, third-party acquirer may develop the ability to properly evaluate the value of </w:t>
      </w:r>
      <w:proofErr w:type="gramStart"/>
      <w:r w:rsidR="00B52156" w:rsidRPr="00A7624F">
        <w:rPr>
          <w:rFonts w:ascii="Times New Roman" w:hAnsi="Times New Roman"/>
          <w:sz w:val="24"/>
          <w:szCs w:val="24"/>
        </w:rPr>
        <w:t>new technologies</w:t>
      </w:r>
      <w:proofErr w:type="gramEnd"/>
      <w:r w:rsidR="00B52156" w:rsidRPr="00A7624F">
        <w:rPr>
          <w:rFonts w:ascii="Times New Roman" w:hAnsi="Times New Roman"/>
          <w:sz w:val="24"/>
          <w:szCs w:val="24"/>
        </w:rPr>
        <w:t xml:space="preserve"> and </w:t>
      </w:r>
      <w:r w:rsidR="003E7FED" w:rsidRPr="00A7624F">
        <w:rPr>
          <w:rFonts w:ascii="Times New Roman" w:hAnsi="Times New Roman"/>
          <w:sz w:val="24"/>
          <w:szCs w:val="24"/>
        </w:rPr>
        <w:t xml:space="preserve">avoid overpayment.  </w:t>
      </w:r>
    </w:p>
    <w:p w:rsidR="00B52156" w:rsidRPr="00A7624F" w:rsidRDefault="003E7FED" w:rsidP="0092044C">
      <w:pPr>
        <w:pStyle w:val="NoSpacing"/>
        <w:spacing w:line="480" w:lineRule="auto"/>
        <w:ind w:firstLine="720"/>
        <w:rPr>
          <w:rFonts w:ascii="Times New Roman" w:hAnsi="Times New Roman"/>
          <w:sz w:val="24"/>
          <w:szCs w:val="24"/>
        </w:rPr>
      </w:pPr>
      <w:r w:rsidRPr="00A7624F">
        <w:rPr>
          <w:rFonts w:ascii="Times New Roman" w:hAnsi="Times New Roman"/>
          <w:sz w:val="24"/>
          <w:szCs w:val="24"/>
        </w:rPr>
        <w:t>However, when a third-party acquirer faces a</w:t>
      </w:r>
      <w:r w:rsidR="00B52156" w:rsidRPr="00A7624F">
        <w:rPr>
          <w:rFonts w:ascii="Times New Roman" w:hAnsi="Times New Roman"/>
          <w:sz w:val="24"/>
          <w:szCs w:val="24"/>
        </w:rPr>
        <w:t xml:space="preserve"> major</w:t>
      </w:r>
      <w:r w:rsidRPr="00A7624F">
        <w:rPr>
          <w:rFonts w:ascii="Times New Roman" w:hAnsi="Times New Roman"/>
          <w:sz w:val="24"/>
          <w:szCs w:val="24"/>
        </w:rPr>
        <w:t xml:space="preserve"> CVC</w:t>
      </w:r>
      <w:r w:rsidR="00B52156" w:rsidRPr="00A7624F">
        <w:rPr>
          <w:rFonts w:ascii="Times New Roman" w:hAnsi="Times New Roman"/>
          <w:sz w:val="24"/>
          <w:szCs w:val="24"/>
        </w:rPr>
        <w:t xml:space="preserve"> investo</w:t>
      </w:r>
      <w:r w:rsidRPr="00A7624F">
        <w:rPr>
          <w:rFonts w:ascii="Times New Roman" w:hAnsi="Times New Roman"/>
          <w:sz w:val="24"/>
          <w:szCs w:val="24"/>
        </w:rPr>
        <w:t xml:space="preserve">r in the acquisition, such positive in-house R&amp;D effects may not be </w:t>
      </w:r>
      <w:r w:rsidR="00263475" w:rsidRPr="00A7624F">
        <w:rPr>
          <w:rFonts w:ascii="Times New Roman" w:hAnsi="Times New Roman"/>
          <w:sz w:val="24"/>
          <w:szCs w:val="24"/>
        </w:rPr>
        <w:t>significant</w:t>
      </w:r>
      <w:r w:rsidRPr="00A7624F">
        <w:rPr>
          <w:rFonts w:ascii="Times New Roman" w:hAnsi="Times New Roman"/>
          <w:sz w:val="24"/>
          <w:szCs w:val="24"/>
        </w:rPr>
        <w:t xml:space="preserve">.  The major investor status </w:t>
      </w:r>
      <w:r w:rsidR="00B52156" w:rsidRPr="00A7624F">
        <w:rPr>
          <w:rFonts w:ascii="Times New Roman" w:hAnsi="Times New Roman"/>
          <w:sz w:val="24"/>
          <w:szCs w:val="24"/>
        </w:rPr>
        <w:t>help</w:t>
      </w:r>
      <w:r w:rsidRPr="00A7624F">
        <w:rPr>
          <w:rFonts w:ascii="Times New Roman" w:hAnsi="Times New Roman"/>
          <w:sz w:val="24"/>
          <w:szCs w:val="24"/>
        </w:rPr>
        <w:t>s</w:t>
      </w:r>
      <w:r w:rsidR="00B52156" w:rsidRPr="00A7624F">
        <w:rPr>
          <w:rFonts w:ascii="Times New Roman" w:hAnsi="Times New Roman"/>
          <w:sz w:val="24"/>
          <w:szCs w:val="24"/>
        </w:rPr>
        <w:t xml:space="preserve"> CVC investors imitate information asymmetry through mechanisms discussed earlier, so that they would have sufficient information </w:t>
      </w:r>
      <w:r w:rsidR="00263475" w:rsidRPr="00A7624F">
        <w:rPr>
          <w:rFonts w:ascii="Times New Roman" w:hAnsi="Times New Roman"/>
          <w:sz w:val="24"/>
          <w:szCs w:val="24"/>
        </w:rPr>
        <w:t xml:space="preserve">to evaluate portfolio companies </w:t>
      </w:r>
      <w:proofErr w:type="gramStart"/>
      <w:r w:rsidR="00263475" w:rsidRPr="00A7624F">
        <w:rPr>
          <w:rFonts w:ascii="Times New Roman" w:hAnsi="Times New Roman"/>
          <w:sz w:val="24"/>
          <w:szCs w:val="24"/>
        </w:rPr>
        <w:t>and .</w:t>
      </w:r>
      <w:proofErr w:type="gramEnd"/>
      <w:r w:rsidR="00263475" w:rsidRPr="00A7624F">
        <w:rPr>
          <w:rFonts w:ascii="Times New Roman" w:hAnsi="Times New Roman"/>
          <w:sz w:val="24"/>
          <w:szCs w:val="24"/>
        </w:rPr>
        <w:t xml:space="preserve">  In addition, the existence of CVC major </w:t>
      </w:r>
      <w:r w:rsidR="00B52156" w:rsidRPr="00A7624F">
        <w:rPr>
          <w:rFonts w:ascii="Times New Roman" w:hAnsi="Times New Roman"/>
          <w:sz w:val="24"/>
          <w:szCs w:val="24"/>
        </w:rPr>
        <w:t xml:space="preserve">investor status is typically established through multiple investment rounds and it is very likely that corporate investors have recouped strategic benefits through the investment relationship over time.  In addition, CVC backed portfolio companies receive not only financial resources, but also the unique opportunity to access corporate investors’ complimentary knowledge assets related to R&amp;D, marketing, management etc. (e.g. Gompers &amp; Lerner, 1998; </w:t>
      </w:r>
      <w:proofErr w:type="spellStart"/>
      <w:r w:rsidR="00B52156" w:rsidRPr="00A7624F">
        <w:rPr>
          <w:rFonts w:ascii="Times New Roman" w:hAnsi="Times New Roman"/>
          <w:sz w:val="24"/>
          <w:szCs w:val="24"/>
        </w:rPr>
        <w:t>Maula</w:t>
      </w:r>
      <w:proofErr w:type="spellEnd"/>
      <w:r w:rsidR="00B52156" w:rsidRPr="00A7624F">
        <w:rPr>
          <w:rFonts w:ascii="Times New Roman" w:hAnsi="Times New Roman"/>
          <w:sz w:val="24"/>
          <w:szCs w:val="24"/>
        </w:rPr>
        <w:t xml:space="preserve"> &amp; Murray, 2002).  Indeed, CVC backed portfolio companies are typically valued higher than those only backed by VCs.  Thus, the </w:t>
      </w:r>
      <w:r w:rsidR="00E1287E" w:rsidRPr="00A7624F">
        <w:rPr>
          <w:rFonts w:ascii="Times New Roman" w:hAnsi="Times New Roman"/>
          <w:sz w:val="24"/>
          <w:szCs w:val="24"/>
        </w:rPr>
        <w:t>third-party</w:t>
      </w:r>
      <w:r w:rsidR="00B52156" w:rsidRPr="00A7624F">
        <w:rPr>
          <w:rFonts w:ascii="Times New Roman" w:hAnsi="Times New Roman"/>
          <w:sz w:val="24"/>
          <w:szCs w:val="24"/>
        </w:rPr>
        <w:t xml:space="preserve"> acquirer would need to pay premiums for the acquisition especially when a CVC investor leads the negotiation as major investor. </w:t>
      </w:r>
    </w:p>
    <w:p w:rsidR="00D41979" w:rsidRPr="00A7624F" w:rsidRDefault="003E7FED" w:rsidP="0092044C">
      <w:pPr>
        <w:pStyle w:val="NoSpacing"/>
        <w:spacing w:line="480" w:lineRule="auto"/>
        <w:ind w:firstLine="720"/>
        <w:rPr>
          <w:rFonts w:ascii="Times New Roman" w:hAnsi="Times New Roman"/>
          <w:sz w:val="24"/>
          <w:szCs w:val="24"/>
        </w:rPr>
      </w:pPr>
      <w:r w:rsidRPr="00A7624F">
        <w:rPr>
          <w:rFonts w:ascii="Times New Roman" w:hAnsi="Times New Roman"/>
          <w:sz w:val="24"/>
          <w:szCs w:val="24"/>
        </w:rPr>
        <w:lastRenderedPageBreak/>
        <w:t>On the contrary, w</w:t>
      </w:r>
      <w:r w:rsidR="00D41979" w:rsidRPr="00A7624F">
        <w:rPr>
          <w:rFonts w:ascii="Times New Roman" w:hAnsi="Times New Roman"/>
          <w:sz w:val="24"/>
          <w:szCs w:val="24"/>
        </w:rPr>
        <w:t xml:space="preserve">hen corporate investors act as minor investors, they will be more likely to mistakenly abandon the option to acquire portfolio companies that they should have done because they may not have sufficient information to discern good acquisition targets from bad ones. In addition, the minor investor status also </w:t>
      </w:r>
      <w:proofErr w:type="gramStart"/>
      <w:r w:rsidR="00D41979" w:rsidRPr="00A7624F">
        <w:rPr>
          <w:rFonts w:ascii="Times New Roman" w:hAnsi="Times New Roman"/>
          <w:sz w:val="24"/>
          <w:szCs w:val="24"/>
        </w:rPr>
        <w:t>leave</w:t>
      </w:r>
      <w:proofErr w:type="gramEnd"/>
      <w:r w:rsidR="00D41979" w:rsidRPr="00A7624F">
        <w:rPr>
          <w:rFonts w:ascii="Times New Roman" w:hAnsi="Times New Roman"/>
          <w:sz w:val="24"/>
          <w:szCs w:val="24"/>
        </w:rPr>
        <w:t xml:space="preserve"> corporate investors little power in the decision making process regarding by whom and how the portfolio company will be acquired.  They may lose the opportunity when facing multiple bidders.  </w:t>
      </w:r>
      <w:r w:rsidRPr="00A7624F">
        <w:rPr>
          <w:rFonts w:ascii="Times New Roman" w:hAnsi="Times New Roman"/>
          <w:sz w:val="24"/>
          <w:szCs w:val="24"/>
        </w:rPr>
        <w:t xml:space="preserve">Under this condition, the impact of third-party acquirer’s in-house R&amp;D would become significant. </w:t>
      </w:r>
      <w:r w:rsidR="00D41979" w:rsidRPr="00A7624F">
        <w:rPr>
          <w:rFonts w:ascii="Times New Roman" w:hAnsi="Times New Roman"/>
          <w:sz w:val="24"/>
          <w:szCs w:val="24"/>
        </w:rPr>
        <w:t>Thus, we propose:</w:t>
      </w:r>
    </w:p>
    <w:p w:rsidR="00D41979" w:rsidRPr="00A7624F" w:rsidRDefault="00D41979" w:rsidP="0092044C">
      <w:pPr>
        <w:pStyle w:val="NoSpacing"/>
        <w:spacing w:line="480" w:lineRule="auto"/>
        <w:ind w:firstLine="720"/>
        <w:rPr>
          <w:rFonts w:ascii="Times New Roman" w:hAnsi="Times New Roman"/>
          <w:sz w:val="24"/>
          <w:szCs w:val="24"/>
        </w:rPr>
      </w:pPr>
      <w:r w:rsidRPr="00A7624F">
        <w:rPr>
          <w:rFonts w:ascii="Times New Roman" w:hAnsi="Times New Roman"/>
          <w:sz w:val="24"/>
          <w:szCs w:val="24"/>
        </w:rPr>
        <w:t xml:space="preserve">  Thus, we propose:</w:t>
      </w:r>
    </w:p>
    <w:p w:rsidR="003E7FED" w:rsidRPr="00A7624F" w:rsidRDefault="00D41979" w:rsidP="003E7FED">
      <w:pPr>
        <w:autoSpaceDE w:val="0"/>
        <w:autoSpaceDN w:val="0"/>
        <w:adjustRightInd w:val="0"/>
        <w:spacing w:after="0" w:line="480" w:lineRule="auto"/>
        <w:ind w:firstLine="720"/>
        <w:rPr>
          <w:rFonts w:ascii="Times New Roman" w:hAnsi="Times New Roman"/>
          <w:i/>
          <w:sz w:val="24"/>
          <w:szCs w:val="24"/>
        </w:rPr>
      </w:pPr>
      <w:r w:rsidRPr="00A7624F">
        <w:rPr>
          <w:rFonts w:ascii="Times New Roman" w:hAnsi="Times New Roman"/>
          <w:sz w:val="24"/>
          <w:szCs w:val="24"/>
        </w:rPr>
        <w:t>H3:</w:t>
      </w:r>
      <w:r w:rsidRPr="00A7624F">
        <w:rPr>
          <w:rFonts w:ascii="Times New Roman" w:hAnsi="Times New Roman"/>
          <w:i/>
          <w:sz w:val="24"/>
          <w:szCs w:val="24"/>
        </w:rPr>
        <w:t xml:space="preserve"> </w:t>
      </w:r>
      <w:r w:rsidR="003E7FED" w:rsidRPr="00A7624F">
        <w:rPr>
          <w:rFonts w:ascii="Times New Roman" w:hAnsi="Times New Roman"/>
          <w:i/>
          <w:sz w:val="24"/>
          <w:szCs w:val="24"/>
        </w:rPr>
        <w:t>Major investor status of a corporate investor will moderate the relationship between third acquirer’s in-house R&amp;D intensity and market reaction to the acquisition announcement.  That is, when CVC investor is not the major investor, the positive relationship will become stronger than when CVC investor is the major inve</w:t>
      </w:r>
      <w:r w:rsidR="004763E7" w:rsidRPr="00A7624F">
        <w:rPr>
          <w:rFonts w:ascii="Times New Roman" w:hAnsi="Times New Roman"/>
          <w:i/>
          <w:sz w:val="24"/>
          <w:szCs w:val="24"/>
        </w:rPr>
        <w:t>s</w:t>
      </w:r>
      <w:r w:rsidR="003E7FED" w:rsidRPr="00A7624F">
        <w:rPr>
          <w:rFonts w:ascii="Times New Roman" w:hAnsi="Times New Roman"/>
          <w:i/>
          <w:sz w:val="24"/>
          <w:szCs w:val="24"/>
        </w:rPr>
        <w:t>tor.</w:t>
      </w:r>
    </w:p>
    <w:p w:rsidR="00D41979" w:rsidRPr="00A7624F" w:rsidRDefault="00982901" w:rsidP="003E7FED">
      <w:pPr>
        <w:autoSpaceDE w:val="0"/>
        <w:autoSpaceDN w:val="0"/>
        <w:adjustRightInd w:val="0"/>
        <w:spacing w:after="0" w:line="480" w:lineRule="auto"/>
        <w:jc w:val="center"/>
        <w:rPr>
          <w:rFonts w:ascii="Times New Roman" w:hAnsi="Times New Roman"/>
          <w:b/>
          <w:sz w:val="24"/>
          <w:szCs w:val="24"/>
        </w:rPr>
      </w:pPr>
      <w:r w:rsidRPr="00A7624F">
        <w:rPr>
          <w:rFonts w:ascii="Times New Roman" w:hAnsi="Times New Roman"/>
          <w:b/>
          <w:sz w:val="24"/>
          <w:szCs w:val="24"/>
        </w:rPr>
        <w:t>METHODS</w:t>
      </w:r>
    </w:p>
    <w:p w:rsidR="00D41979" w:rsidRPr="00A7624F" w:rsidRDefault="00D41979" w:rsidP="0092044C">
      <w:pPr>
        <w:rPr>
          <w:rFonts w:ascii="Times New Roman" w:hAnsi="Times New Roman"/>
          <w:b/>
          <w:sz w:val="24"/>
          <w:szCs w:val="24"/>
        </w:rPr>
      </w:pPr>
      <w:r w:rsidRPr="00A7624F">
        <w:rPr>
          <w:rFonts w:ascii="Times New Roman" w:hAnsi="Times New Roman"/>
          <w:b/>
          <w:sz w:val="24"/>
          <w:szCs w:val="24"/>
        </w:rPr>
        <w:t>Sample Construction and Summary Statistics</w:t>
      </w:r>
    </w:p>
    <w:p w:rsidR="00D41979" w:rsidRPr="00A7624F" w:rsidRDefault="00D41979" w:rsidP="0092044C">
      <w:pPr>
        <w:pStyle w:val="NoSpacing"/>
        <w:spacing w:line="480" w:lineRule="auto"/>
        <w:ind w:firstLine="720"/>
        <w:rPr>
          <w:rFonts w:ascii="Times New Roman" w:hAnsi="Times New Roman"/>
          <w:sz w:val="24"/>
          <w:szCs w:val="24"/>
        </w:rPr>
      </w:pPr>
      <w:r w:rsidRPr="00A7624F">
        <w:rPr>
          <w:rFonts w:ascii="Times New Roman" w:hAnsi="Times New Roman"/>
          <w:sz w:val="24"/>
          <w:szCs w:val="24"/>
        </w:rPr>
        <w:t xml:space="preserve">We started our sample from Thomson-Reuters’s </w:t>
      </w:r>
      <w:proofErr w:type="spellStart"/>
      <w:r w:rsidRPr="00A7624F">
        <w:rPr>
          <w:rFonts w:ascii="Times New Roman" w:hAnsi="Times New Roman"/>
          <w:sz w:val="24"/>
          <w:szCs w:val="24"/>
        </w:rPr>
        <w:t>VentureXpert</w:t>
      </w:r>
      <w:proofErr w:type="spellEnd"/>
      <w:r w:rsidRPr="00A7624F">
        <w:rPr>
          <w:rFonts w:ascii="Times New Roman" w:hAnsi="Times New Roman"/>
          <w:sz w:val="24"/>
          <w:szCs w:val="24"/>
        </w:rPr>
        <w:t xml:space="preserve"> section of its SDC database. </w:t>
      </w:r>
      <w:proofErr w:type="spellStart"/>
      <w:r w:rsidRPr="00A7624F">
        <w:rPr>
          <w:rFonts w:ascii="Times New Roman" w:hAnsi="Times New Roman"/>
          <w:sz w:val="24"/>
          <w:szCs w:val="24"/>
        </w:rPr>
        <w:t>VentureXpert</w:t>
      </w:r>
      <w:proofErr w:type="spellEnd"/>
      <w:r w:rsidRPr="00A7624F">
        <w:rPr>
          <w:rFonts w:ascii="Times New Roman" w:hAnsi="Times New Roman"/>
          <w:sz w:val="24"/>
          <w:szCs w:val="24"/>
        </w:rPr>
        <w:t xml:space="preserve"> contains round-by-round funding information on CVC and venture capital investment in mostly private firms.  In this manuscript, we use the term CVC companies and targets interchangeably to denote the receiver of these CVC investment funds.  We limited our sample period to the 1980-2014 period because the number of acquisitions of CVC companies is quite negligible in the earlier years.  There are 15,989 unique companies in the </w:t>
      </w:r>
      <w:proofErr w:type="spellStart"/>
      <w:r w:rsidRPr="00A7624F">
        <w:rPr>
          <w:rFonts w:ascii="Times New Roman" w:hAnsi="Times New Roman"/>
          <w:sz w:val="24"/>
          <w:szCs w:val="24"/>
        </w:rPr>
        <w:t>VentureXpert</w:t>
      </w:r>
      <w:proofErr w:type="spellEnd"/>
      <w:r w:rsidRPr="00A7624F">
        <w:rPr>
          <w:rFonts w:ascii="Times New Roman" w:hAnsi="Times New Roman"/>
          <w:sz w:val="24"/>
          <w:szCs w:val="24"/>
        </w:rPr>
        <w:t xml:space="preserve"> sample for this period each having multiple investors and funding rounds.  We narrowed our sample to the companies for which </w:t>
      </w:r>
      <w:proofErr w:type="spellStart"/>
      <w:r w:rsidRPr="00A7624F">
        <w:rPr>
          <w:rFonts w:ascii="Times New Roman" w:hAnsi="Times New Roman"/>
          <w:sz w:val="24"/>
          <w:szCs w:val="24"/>
        </w:rPr>
        <w:t>VentuerXpert</w:t>
      </w:r>
      <w:proofErr w:type="spellEnd"/>
      <w:r w:rsidRPr="00A7624F">
        <w:rPr>
          <w:rFonts w:ascii="Times New Roman" w:hAnsi="Times New Roman"/>
          <w:sz w:val="24"/>
          <w:szCs w:val="24"/>
        </w:rPr>
        <w:t xml:space="preserve"> listed the status as “merged”, “acquired” or “in process of merger or acquisition”.  Our sample, therefore, does not include companies that exited the </w:t>
      </w:r>
      <w:proofErr w:type="spellStart"/>
      <w:r w:rsidRPr="00A7624F">
        <w:rPr>
          <w:rFonts w:ascii="Times New Roman" w:hAnsi="Times New Roman"/>
          <w:sz w:val="24"/>
          <w:szCs w:val="24"/>
        </w:rPr>
        <w:t>VentureXpert</w:t>
      </w:r>
      <w:proofErr w:type="spellEnd"/>
      <w:r w:rsidRPr="00A7624F">
        <w:rPr>
          <w:rFonts w:ascii="Times New Roman" w:hAnsi="Times New Roman"/>
          <w:sz w:val="24"/>
          <w:szCs w:val="24"/>
        </w:rPr>
        <w:t xml:space="preserve"> database through IPO and were later acquired.  There </w:t>
      </w:r>
      <w:r w:rsidRPr="00A7624F">
        <w:rPr>
          <w:rFonts w:ascii="Times New Roman" w:hAnsi="Times New Roman"/>
          <w:sz w:val="24"/>
          <w:szCs w:val="24"/>
        </w:rPr>
        <w:lastRenderedPageBreak/>
        <w:t>were 4,425 companies that were either acquired or were in the process of being acquired and of these 3,542 were companies based in the United States. We limited our sample to US companies.</w:t>
      </w:r>
    </w:p>
    <w:p w:rsidR="00D41979" w:rsidRPr="00A7624F" w:rsidRDefault="00D41979" w:rsidP="0092044C">
      <w:pPr>
        <w:pStyle w:val="NoSpacing"/>
        <w:spacing w:line="480" w:lineRule="auto"/>
        <w:ind w:firstLine="720"/>
        <w:rPr>
          <w:rFonts w:ascii="Times New Roman" w:hAnsi="Times New Roman"/>
          <w:sz w:val="24"/>
          <w:szCs w:val="24"/>
        </w:rPr>
      </w:pPr>
      <w:r w:rsidRPr="00A7624F">
        <w:rPr>
          <w:rFonts w:ascii="Times New Roman" w:hAnsi="Times New Roman"/>
          <w:sz w:val="24"/>
          <w:szCs w:val="24"/>
        </w:rPr>
        <w:t xml:space="preserve">In the next step, we matched our sample of US acquired (or in process of acquisition) companies to the SDC’s merger and acquisition sample.  We narrowed the SDC’s M&amp;A database to acquisitions done during the 1980-2014 period by the US public acquirers.  This resulted in 151,647 merger and acquisition records.  We then matched the target names, city, and state to our CVC sample.  We needed to augment this match through manual matching because of many reasons including: the CVC target had changed its name by the time acquisition occurred, the name was listed in very different styles in the two databases, or some of the information needed to reliably reconcile the records between the two databases was missing.  We searched through </w:t>
      </w:r>
      <w:r w:rsidR="00050915" w:rsidRPr="00A7624F">
        <w:rPr>
          <w:rFonts w:ascii="Times New Roman" w:hAnsi="Times New Roman"/>
          <w:sz w:val="24"/>
          <w:szCs w:val="24"/>
        </w:rPr>
        <w:t xml:space="preserve">Lexus Nexus, </w:t>
      </w:r>
      <w:r w:rsidRPr="00A7624F">
        <w:rPr>
          <w:rFonts w:ascii="Times New Roman" w:hAnsi="Times New Roman"/>
          <w:sz w:val="24"/>
          <w:szCs w:val="24"/>
        </w:rPr>
        <w:t>Bloomberg, the websites of possible acquirers, and Google to complete and verify our matching process.  This e</w:t>
      </w:r>
      <w:r w:rsidR="00601123" w:rsidRPr="00A7624F">
        <w:rPr>
          <w:rFonts w:ascii="Times New Roman" w:hAnsi="Times New Roman"/>
          <w:sz w:val="24"/>
          <w:szCs w:val="24"/>
        </w:rPr>
        <w:t>ffort resulted in a match of 1,613</w:t>
      </w:r>
      <w:r w:rsidRPr="00A7624F">
        <w:rPr>
          <w:rFonts w:ascii="Times New Roman" w:hAnsi="Times New Roman"/>
          <w:sz w:val="24"/>
          <w:szCs w:val="24"/>
        </w:rPr>
        <w:t xml:space="preserve"> companies in the CVC sample as targets </w:t>
      </w:r>
      <w:r w:rsidR="00601123" w:rsidRPr="00A7624F">
        <w:rPr>
          <w:rFonts w:ascii="Times New Roman" w:hAnsi="Times New Roman"/>
          <w:sz w:val="24"/>
          <w:szCs w:val="24"/>
        </w:rPr>
        <w:t>in our SDC sample.  Of these 1,613 targets, 142</w:t>
      </w:r>
      <w:r w:rsidRPr="00A7624F">
        <w:rPr>
          <w:rFonts w:ascii="Times New Roman" w:hAnsi="Times New Roman"/>
          <w:sz w:val="24"/>
          <w:szCs w:val="24"/>
        </w:rPr>
        <w:t xml:space="preserve"> were acquired by corporations which were also their CVC investors.</w:t>
      </w:r>
    </w:p>
    <w:p w:rsidR="00D41979" w:rsidRPr="00A7624F" w:rsidRDefault="00D41979" w:rsidP="00601123">
      <w:pPr>
        <w:pStyle w:val="NoSpacing"/>
        <w:spacing w:line="480" w:lineRule="auto"/>
        <w:ind w:firstLine="720"/>
        <w:rPr>
          <w:rFonts w:ascii="Times New Roman" w:hAnsi="Times New Roman"/>
          <w:sz w:val="24"/>
          <w:szCs w:val="24"/>
        </w:rPr>
      </w:pPr>
      <w:r w:rsidRPr="00A7624F">
        <w:rPr>
          <w:rFonts w:ascii="Times New Roman" w:hAnsi="Times New Roman"/>
          <w:sz w:val="24"/>
          <w:szCs w:val="24"/>
        </w:rPr>
        <w:t xml:space="preserve">In the next step, we located identifiers for the acquirers in Standard &amp; Poor’s COMPUSTAT and the Center for Research in Security Prices’ CRSP databases to retrieve information needed to calculate cumulative abnormal returns and control variables around the merger announcement date.  Some of the acquirers’ common stock was listed on the OTC market or the firms were private even though SDC listed them as public.  Even when we were able to identify an acquirer on both the CRSP and COMPUSTAT databases, some information needed for our analysis was missing. For example, for some firms there were not enough trading days prior to the merger announcement to calculate CARs or information on total assets or EBITDA was missing for the fiscal year prior to the merger year. </w:t>
      </w:r>
      <w:r w:rsidR="00601123" w:rsidRPr="00A7624F">
        <w:rPr>
          <w:rFonts w:ascii="Times New Roman" w:hAnsi="Times New Roman"/>
          <w:sz w:val="24"/>
          <w:szCs w:val="24"/>
        </w:rPr>
        <w:t xml:space="preserve">By excluding observations for those </w:t>
      </w:r>
      <w:r w:rsidR="00601123" w:rsidRPr="00A7624F">
        <w:rPr>
          <w:rFonts w:ascii="Times New Roman" w:hAnsi="Times New Roman"/>
          <w:sz w:val="24"/>
          <w:szCs w:val="24"/>
        </w:rPr>
        <w:lastRenderedPageBreak/>
        <w:t>merger years, we obtained a sample of 1,382 M&amp;A events for which CARs could be calculated.  Of these, 1,250 acquisitions were made by corporations that had no CVC relationship with the targets (CVC companies) and 132 were acquisitions of CVC companies by one of their own CVC investor firms. Some of these acquirers did not have information available on COMPUSTAT to calculate all control variables leaving us with a sample of 131 acquisitions by CVC investors of their portfolio companies and 1,244 acquisitions by third-party acquirers for the multivariate analysis.</w:t>
      </w:r>
    </w:p>
    <w:p w:rsidR="00D41979" w:rsidRPr="00A7624F" w:rsidRDefault="00D41979" w:rsidP="0092044C">
      <w:pPr>
        <w:pStyle w:val="NoSpacing"/>
        <w:spacing w:line="480" w:lineRule="auto"/>
        <w:ind w:firstLine="720"/>
        <w:rPr>
          <w:rFonts w:ascii="Times New Roman" w:hAnsi="Times New Roman"/>
          <w:sz w:val="24"/>
          <w:szCs w:val="24"/>
        </w:rPr>
      </w:pPr>
      <w:r w:rsidRPr="00A7624F">
        <w:rPr>
          <w:rFonts w:ascii="Times New Roman" w:hAnsi="Times New Roman"/>
          <w:sz w:val="24"/>
          <w:szCs w:val="24"/>
        </w:rPr>
        <w:t xml:space="preserve">The breakdown of our sample by merger year is given in Table </w:t>
      </w:r>
      <w:r w:rsidR="0060459B" w:rsidRPr="00A7624F">
        <w:rPr>
          <w:rFonts w:ascii="Times New Roman" w:hAnsi="Times New Roman"/>
          <w:sz w:val="24"/>
          <w:szCs w:val="24"/>
        </w:rPr>
        <w:t>1</w:t>
      </w:r>
      <w:r w:rsidRPr="00A7624F">
        <w:rPr>
          <w:rFonts w:ascii="Times New Roman" w:hAnsi="Times New Roman"/>
          <w:sz w:val="24"/>
          <w:szCs w:val="24"/>
        </w:rPr>
        <w:t xml:space="preserve"> and shown graphically in Figure 1.  Acquisitions by all acquirers peaked during the equity market boom of 1996-2000.  Acquisitions by third-party or non-CVC investors appear to have recovered quite close to their boom-period peak during the monetary easing of the first decade of this century but the tendency to acquire CVC investees by their corporate investors appears to have permanently dropped to a much lower level compared to its peak in the late nineties and early two-thousands.</w:t>
      </w:r>
    </w:p>
    <w:p w:rsidR="0060459B" w:rsidRPr="00A7624F" w:rsidRDefault="0060459B" w:rsidP="0060459B">
      <w:pPr>
        <w:pStyle w:val="NoSpacing"/>
        <w:spacing w:line="480" w:lineRule="auto"/>
        <w:jc w:val="center"/>
        <w:rPr>
          <w:rFonts w:ascii="Times New Roman" w:hAnsi="Times New Roman"/>
          <w:i/>
          <w:sz w:val="24"/>
          <w:szCs w:val="24"/>
        </w:rPr>
      </w:pPr>
      <w:r w:rsidRPr="00A7624F">
        <w:rPr>
          <w:rFonts w:ascii="Times New Roman" w:hAnsi="Times New Roman"/>
          <w:i/>
          <w:sz w:val="24"/>
          <w:szCs w:val="24"/>
        </w:rPr>
        <w:t>Insert Table 1 and Figure 1 about here</w:t>
      </w:r>
    </w:p>
    <w:p w:rsidR="00D41979" w:rsidRPr="00A7624F" w:rsidRDefault="00D41979" w:rsidP="0092044C">
      <w:pPr>
        <w:pStyle w:val="NoSpacing"/>
        <w:spacing w:line="480" w:lineRule="auto"/>
        <w:ind w:firstLine="720"/>
        <w:rPr>
          <w:rFonts w:ascii="Times New Roman" w:hAnsi="Times New Roman"/>
          <w:sz w:val="24"/>
          <w:szCs w:val="24"/>
        </w:rPr>
      </w:pPr>
      <w:r w:rsidRPr="00A7624F">
        <w:rPr>
          <w:rFonts w:ascii="Times New Roman" w:hAnsi="Times New Roman"/>
          <w:sz w:val="24"/>
          <w:szCs w:val="24"/>
        </w:rPr>
        <w:t>We list some major characteristics of the CVC companies (targets) in our sample in Tab</w:t>
      </w:r>
      <w:r w:rsidR="0060459B" w:rsidRPr="00A7624F">
        <w:rPr>
          <w:rFonts w:ascii="Times New Roman" w:hAnsi="Times New Roman"/>
          <w:sz w:val="24"/>
          <w:szCs w:val="24"/>
        </w:rPr>
        <w:t>le 2</w:t>
      </w:r>
      <w:r w:rsidRPr="00A7624F">
        <w:rPr>
          <w:rFonts w:ascii="Times New Roman" w:hAnsi="Times New Roman"/>
          <w:sz w:val="24"/>
          <w:szCs w:val="24"/>
        </w:rPr>
        <w:t>.  The amount of CVC and venture capital investment in these companies does not capture the full valuation of these firms.  Still, one can indirectly infer from funding information for these companies that compared to public targets in M&amp;A transactions, these are relative quite small firms.  The average amount invested in a target by th</w:t>
      </w:r>
      <w:r w:rsidR="0060459B" w:rsidRPr="00A7624F">
        <w:rPr>
          <w:rFonts w:ascii="Times New Roman" w:hAnsi="Times New Roman"/>
          <w:sz w:val="24"/>
          <w:szCs w:val="24"/>
        </w:rPr>
        <w:t>eir CVC investors is only $38.47</w:t>
      </w:r>
      <w:r w:rsidRPr="00A7624F">
        <w:rPr>
          <w:rFonts w:ascii="Times New Roman" w:hAnsi="Times New Roman"/>
          <w:sz w:val="24"/>
          <w:szCs w:val="24"/>
        </w:rPr>
        <w:t xml:space="preserve"> million for companies acquired by th</w:t>
      </w:r>
      <w:r w:rsidR="0060459B" w:rsidRPr="00A7624F">
        <w:rPr>
          <w:rFonts w:ascii="Times New Roman" w:hAnsi="Times New Roman"/>
          <w:sz w:val="24"/>
          <w:szCs w:val="24"/>
        </w:rPr>
        <w:t>eir own CVC investors and $57.46</w:t>
      </w:r>
      <w:r w:rsidRPr="00A7624F">
        <w:rPr>
          <w:rFonts w:ascii="Times New Roman" w:hAnsi="Times New Roman"/>
          <w:sz w:val="24"/>
          <w:szCs w:val="24"/>
        </w:rPr>
        <w:t xml:space="preserve"> million for companies acquired by third-party or non-CVC corporations.  A casual comparison of the summary statistics i</w:t>
      </w:r>
      <w:r w:rsidR="0060459B" w:rsidRPr="00A7624F">
        <w:rPr>
          <w:rFonts w:ascii="Times New Roman" w:hAnsi="Times New Roman"/>
          <w:sz w:val="24"/>
          <w:szCs w:val="24"/>
        </w:rPr>
        <w:t>n Panel A and Panel B of Table 2</w:t>
      </w:r>
      <w:r w:rsidRPr="00A7624F">
        <w:rPr>
          <w:rFonts w:ascii="Times New Roman" w:hAnsi="Times New Roman"/>
          <w:sz w:val="24"/>
          <w:szCs w:val="24"/>
        </w:rPr>
        <w:t xml:space="preserve"> highlights some subtle differences between the companies acquired by their own CVC investors versus those acquired by the third-party acquirers.  The targets of CVC </w:t>
      </w:r>
      <w:r w:rsidRPr="00A7624F">
        <w:rPr>
          <w:rFonts w:ascii="Times New Roman" w:hAnsi="Times New Roman"/>
          <w:sz w:val="24"/>
          <w:szCs w:val="24"/>
        </w:rPr>
        <w:lastRenderedPageBreak/>
        <w:t>investors get acquired sooner in their CVC lifecycle.  The total amount of money invested in them by corporate investors is smaller and they participate in fewer investing rounds.  But the average amount raised per round, both from the CVC corporations and venture ca</w:t>
      </w:r>
      <w:r w:rsidR="00E62CB8" w:rsidRPr="00A7624F">
        <w:rPr>
          <w:rFonts w:ascii="Times New Roman" w:hAnsi="Times New Roman"/>
          <w:sz w:val="24"/>
          <w:szCs w:val="24"/>
        </w:rPr>
        <w:t>pitalists, is</w:t>
      </w:r>
      <w:r w:rsidR="0060459B" w:rsidRPr="00A7624F">
        <w:rPr>
          <w:rFonts w:ascii="Times New Roman" w:hAnsi="Times New Roman"/>
          <w:sz w:val="24"/>
          <w:szCs w:val="24"/>
        </w:rPr>
        <w:t xml:space="preserve"> slightly lower ($10.35</w:t>
      </w:r>
      <w:r w:rsidRPr="00A7624F">
        <w:rPr>
          <w:rFonts w:ascii="Times New Roman" w:hAnsi="Times New Roman"/>
          <w:sz w:val="24"/>
          <w:szCs w:val="24"/>
        </w:rPr>
        <w:t xml:space="preserve"> million </w:t>
      </w:r>
      <w:r w:rsidR="0060459B" w:rsidRPr="00A7624F">
        <w:rPr>
          <w:rFonts w:ascii="Times New Roman" w:hAnsi="Times New Roman"/>
          <w:sz w:val="24"/>
          <w:szCs w:val="24"/>
        </w:rPr>
        <w:t>versus $11.89</w:t>
      </w:r>
      <w:r w:rsidRPr="00A7624F">
        <w:rPr>
          <w:rFonts w:ascii="Times New Roman" w:hAnsi="Times New Roman"/>
          <w:sz w:val="24"/>
          <w:szCs w:val="24"/>
        </w:rPr>
        <w:t xml:space="preserve"> million).  The median values for each of the variables related to funding amounts are quite different from their mean values indicating the presence of a few dramatically more successful fund-raisers in both samples.</w:t>
      </w:r>
    </w:p>
    <w:p w:rsidR="00573CBD" w:rsidRPr="00A7624F" w:rsidRDefault="00573CBD" w:rsidP="00573CBD">
      <w:pPr>
        <w:pStyle w:val="NoSpacing"/>
        <w:spacing w:line="480" w:lineRule="auto"/>
        <w:jc w:val="center"/>
        <w:rPr>
          <w:rFonts w:ascii="Times New Roman" w:hAnsi="Times New Roman"/>
          <w:i/>
          <w:sz w:val="24"/>
          <w:szCs w:val="24"/>
        </w:rPr>
      </w:pPr>
      <w:r w:rsidRPr="00A7624F">
        <w:rPr>
          <w:rFonts w:ascii="Times New Roman" w:hAnsi="Times New Roman"/>
          <w:i/>
          <w:sz w:val="24"/>
          <w:szCs w:val="24"/>
        </w:rPr>
        <w:t>Insert Table 2 about Here</w:t>
      </w:r>
    </w:p>
    <w:p w:rsidR="00D41979" w:rsidRPr="00A7624F" w:rsidRDefault="00D41979" w:rsidP="0092044C">
      <w:pPr>
        <w:pStyle w:val="NoSpacing"/>
        <w:spacing w:line="480" w:lineRule="auto"/>
        <w:ind w:firstLine="720"/>
        <w:rPr>
          <w:rFonts w:ascii="Times New Roman" w:hAnsi="Times New Roman"/>
          <w:sz w:val="24"/>
          <w:szCs w:val="24"/>
        </w:rPr>
      </w:pPr>
      <w:r w:rsidRPr="00A7624F">
        <w:rPr>
          <w:rFonts w:ascii="Times New Roman" w:hAnsi="Times New Roman"/>
          <w:sz w:val="24"/>
          <w:szCs w:val="24"/>
        </w:rPr>
        <w:t>The overall difference in fina</w:t>
      </w:r>
      <w:r w:rsidR="00C023A8" w:rsidRPr="00A7624F">
        <w:rPr>
          <w:rFonts w:ascii="Times New Roman" w:hAnsi="Times New Roman"/>
          <w:sz w:val="24"/>
          <w:szCs w:val="24"/>
        </w:rPr>
        <w:t xml:space="preserve">ncial profiles of CVC investor </w:t>
      </w:r>
      <w:r w:rsidRPr="00A7624F">
        <w:rPr>
          <w:rFonts w:ascii="Times New Roman" w:hAnsi="Times New Roman"/>
          <w:sz w:val="24"/>
          <w:szCs w:val="24"/>
        </w:rPr>
        <w:t>acquirers versus third-party ac</w:t>
      </w:r>
      <w:r w:rsidR="0060459B" w:rsidRPr="00A7624F">
        <w:rPr>
          <w:rFonts w:ascii="Times New Roman" w:hAnsi="Times New Roman"/>
          <w:sz w:val="24"/>
          <w:szCs w:val="24"/>
        </w:rPr>
        <w:t>quirers can be seen from Table 3</w:t>
      </w:r>
      <w:r w:rsidRPr="00A7624F">
        <w:rPr>
          <w:rFonts w:ascii="Times New Roman" w:hAnsi="Times New Roman"/>
          <w:sz w:val="24"/>
          <w:szCs w:val="24"/>
        </w:rPr>
        <w:t xml:space="preserve">.  This information is from the fiscal year before the year of acquisition.  In general, the acquirers of their own CVC companies are more mature firms.  This is in line with the general profile of a CVC investor.  Compared to the third-party acquirers, these firms have a higher asset base, leverage and market value of equity but have lower sales growth. The third-party acquirers are younger firms and some firms with a significantly negative cash flow have pushed the mean in the negative territory even when the median is healthy and positive for this group.  The third-party acquires also appear to be spending substantially less on in-house R&amp;D as evidenced by their R&amp;D intensity (R&amp;D expenditure per employee).  </w:t>
      </w:r>
    </w:p>
    <w:p w:rsidR="00573CBD" w:rsidRPr="00A7624F" w:rsidRDefault="00573CBD" w:rsidP="00573CBD">
      <w:pPr>
        <w:pStyle w:val="NoSpacing"/>
        <w:spacing w:line="480" w:lineRule="auto"/>
        <w:jc w:val="center"/>
        <w:rPr>
          <w:rFonts w:ascii="Times New Roman" w:hAnsi="Times New Roman"/>
          <w:i/>
          <w:sz w:val="24"/>
          <w:szCs w:val="24"/>
        </w:rPr>
      </w:pPr>
      <w:r w:rsidRPr="00A7624F">
        <w:rPr>
          <w:rFonts w:ascii="Times New Roman" w:hAnsi="Times New Roman"/>
          <w:i/>
          <w:sz w:val="24"/>
          <w:szCs w:val="24"/>
        </w:rPr>
        <w:t>Insert Table 3 about Here</w:t>
      </w:r>
    </w:p>
    <w:p w:rsidR="00D41979" w:rsidRPr="00A7624F" w:rsidRDefault="00D41979" w:rsidP="0092044C">
      <w:pPr>
        <w:pStyle w:val="NoSpacing"/>
        <w:spacing w:line="480" w:lineRule="auto"/>
        <w:rPr>
          <w:rFonts w:ascii="Times New Roman" w:hAnsi="Times New Roman"/>
          <w:b/>
          <w:sz w:val="24"/>
          <w:szCs w:val="24"/>
        </w:rPr>
      </w:pPr>
      <w:r w:rsidRPr="00A7624F">
        <w:rPr>
          <w:rFonts w:ascii="Times New Roman" w:hAnsi="Times New Roman"/>
          <w:b/>
          <w:sz w:val="24"/>
          <w:szCs w:val="24"/>
        </w:rPr>
        <w:t>Construction of Variables</w:t>
      </w:r>
    </w:p>
    <w:p w:rsidR="00D41979" w:rsidRPr="00A7624F" w:rsidRDefault="00D41979" w:rsidP="0092044C">
      <w:pPr>
        <w:pStyle w:val="NoSpacing"/>
        <w:spacing w:line="480" w:lineRule="auto"/>
        <w:rPr>
          <w:rFonts w:ascii="Times New Roman" w:hAnsi="Times New Roman"/>
          <w:b/>
          <w:i/>
          <w:sz w:val="24"/>
          <w:szCs w:val="24"/>
        </w:rPr>
      </w:pPr>
      <w:r w:rsidRPr="00A7624F">
        <w:rPr>
          <w:rFonts w:ascii="Times New Roman" w:hAnsi="Times New Roman"/>
          <w:b/>
          <w:i/>
          <w:sz w:val="24"/>
          <w:szCs w:val="24"/>
        </w:rPr>
        <w:t>Dependent variable</w:t>
      </w:r>
    </w:p>
    <w:p w:rsidR="00E90674" w:rsidRPr="00A7624F" w:rsidRDefault="00D41979" w:rsidP="00E90674">
      <w:pPr>
        <w:pStyle w:val="NoSpacing"/>
        <w:spacing w:line="480" w:lineRule="auto"/>
        <w:ind w:firstLine="720"/>
        <w:rPr>
          <w:rFonts w:ascii="Times New Roman" w:hAnsi="Times New Roman"/>
          <w:sz w:val="24"/>
          <w:szCs w:val="24"/>
        </w:rPr>
      </w:pPr>
      <w:r w:rsidRPr="00A7624F">
        <w:rPr>
          <w:rFonts w:ascii="Times New Roman" w:hAnsi="Times New Roman"/>
          <w:sz w:val="24"/>
          <w:szCs w:val="24"/>
        </w:rPr>
        <w:t xml:space="preserve">Our main measure to capture the effect of CVC investment in relation to the acquisition decision is Cumulative Abnormal Returns (CARs) around the merger </w:t>
      </w:r>
      <w:r w:rsidR="00E90674" w:rsidRPr="00A7624F">
        <w:rPr>
          <w:rFonts w:ascii="Times New Roman" w:hAnsi="Times New Roman"/>
          <w:sz w:val="24"/>
          <w:szCs w:val="24"/>
        </w:rPr>
        <w:t xml:space="preserve">announcement. </w:t>
      </w:r>
      <w:proofErr w:type="gramStart"/>
      <w:r w:rsidR="00E90674" w:rsidRPr="00A7624F">
        <w:rPr>
          <w:rFonts w:ascii="Times New Roman" w:hAnsi="Times New Roman"/>
          <w:sz w:val="24"/>
          <w:szCs w:val="24"/>
        </w:rPr>
        <w:t>All of</w:t>
      </w:r>
      <w:proofErr w:type="gramEnd"/>
      <w:r w:rsidR="00E90674" w:rsidRPr="00A7624F">
        <w:rPr>
          <w:rFonts w:ascii="Times New Roman" w:hAnsi="Times New Roman"/>
          <w:sz w:val="24"/>
          <w:szCs w:val="24"/>
        </w:rPr>
        <w:t xml:space="preserve"> our acquisitions</w:t>
      </w:r>
      <w:r w:rsidRPr="00A7624F">
        <w:rPr>
          <w:rFonts w:ascii="Times New Roman" w:hAnsi="Times New Roman"/>
          <w:sz w:val="24"/>
          <w:szCs w:val="24"/>
        </w:rPr>
        <w:t xml:space="preserve"> have status of completed in the SDC sample</w:t>
      </w:r>
      <w:r w:rsidR="00E90674" w:rsidRPr="00A7624F">
        <w:rPr>
          <w:rFonts w:ascii="Times New Roman" w:hAnsi="Times New Roman"/>
          <w:sz w:val="24"/>
          <w:szCs w:val="24"/>
        </w:rPr>
        <w:t xml:space="preserve">, and we also exclude the events with public targets.  To estimate the cumulative abnormal returns (CAR) upon announcement of </w:t>
      </w:r>
      <w:r w:rsidR="00E90674" w:rsidRPr="00A7624F">
        <w:rPr>
          <w:rFonts w:ascii="Times New Roman" w:hAnsi="Times New Roman"/>
          <w:sz w:val="24"/>
          <w:szCs w:val="24"/>
        </w:rPr>
        <w:lastRenderedPageBreak/>
        <w:t xml:space="preserve">acquisitions by both CVC investor acquirers and </w:t>
      </w:r>
      <w:r w:rsidR="00E1287E" w:rsidRPr="00A7624F">
        <w:rPr>
          <w:rFonts w:ascii="Times New Roman" w:hAnsi="Times New Roman"/>
          <w:sz w:val="24"/>
          <w:szCs w:val="24"/>
        </w:rPr>
        <w:t>third-party</w:t>
      </w:r>
      <w:r w:rsidR="00E90674" w:rsidRPr="00A7624F">
        <w:rPr>
          <w:rFonts w:ascii="Times New Roman" w:hAnsi="Times New Roman"/>
          <w:sz w:val="24"/>
          <w:szCs w:val="24"/>
        </w:rPr>
        <w:t xml:space="preserve"> acquirers, we employ a standard event study method.  Acquisition dates were collected from SDC Merger &amp; Acquisition database, and verified through Lexus Nexus and Internet news search.  Consistent with prior studies</w:t>
      </w:r>
      <w:r w:rsidR="00601123" w:rsidRPr="00A7624F">
        <w:rPr>
          <w:rFonts w:ascii="Times New Roman" w:hAnsi="Times New Roman"/>
          <w:sz w:val="24"/>
          <w:szCs w:val="24"/>
        </w:rPr>
        <w:t xml:space="preserve"> (e.g., Benson &amp; </w:t>
      </w:r>
      <w:proofErr w:type="spellStart"/>
      <w:r w:rsidR="00601123" w:rsidRPr="00A7624F">
        <w:rPr>
          <w:rFonts w:ascii="Times New Roman" w:hAnsi="Times New Roman"/>
          <w:sz w:val="24"/>
          <w:szCs w:val="24"/>
        </w:rPr>
        <w:t>Ziedonis</w:t>
      </w:r>
      <w:proofErr w:type="spellEnd"/>
      <w:r w:rsidR="00601123" w:rsidRPr="00A7624F">
        <w:rPr>
          <w:rFonts w:ascii="Times New Roman" w:hAnsi="Times New Roman"/>
          <w:sz w:val="24"/>
          <w:szCs w:val="24"/>
        </w:rPr>
        <w:t>, 2010</w:t>
      </w:r>
      <w:r w:rsidR="00E90674" w:rsidRPr="00A7624F">
        <w:rPr>
          <w:rFonts w:ascii="Times New Roman" w:hAnsi="Times New Roman"/>
          <w:sz w:val="24"/>
          <w:szCs w:val="24"/>
        </w:rPr>
        <w:t xml:space="preserve">), the CARS are calculated using the Center for Research in Security Prices’ CRSP value-weighted index based on a 3-day event window (-1, 1) and a 255-day estimation period ending on day -46.  </w:t>
      </w:r>
    </w:p>
    <w:p w:rsidR="00D41979" w:rsidRPr="00A7624F" w:rsidRDefault="00D537B7" w:rsidP="00E507F5">
      <w:pPr>
        <w:pStyle w:val="NoSpacing"/>
        <w:spacing w:line="480" w:lineRule="auto"/>
        <w:rPr>
          <w:rFonts w:ascii="Times New Roman" w:hAnsi="Times New Roman"/>
          <w:b/>
          <w:i/>
          <w:sz w:val="24"/>
          <w:szCs w:val="24"/>
        </w:rPr>
      </w:pPr>
      <w:r w:rsidRPr="00A7624F">
        <w:rPr>
          <w:rFonts w:ascii="Times New Roman" w:hAnsi="Times New Roman"/>
          <w:b/>
          <w:i/>
          <w:sz w:val="24"/>
          <w:szCs w:val="24"/>
        </w:rPr>
        <w:t>Independent</w:t>
      </w:r>
      <w:r w:rsidR="00D41979" w:rsidRPr="00A7624F">
        <w:rPr>
          <w:rFonts w:ascii="Times New Roman" w:hAnsi="Times New Roman"/>
          <w:b/>
          <w:i/>
          <w:sz w:val="24"/>
          <w:szCs w:val="24"/>
        </w:rPr>
        <w:t xml:space="preserve"> Variables</w:t>
      </w:r>
    </w:p>
    <w:p w:rsidR="00D537B7" w:rsidRPr="00A7624F" w:rsidRDefault="00D537B7" w:rsidP="00D537B7">
      <w:pPr>
        <w:pStyle w:val="NoSpacing"/>
        <w:spacing w:line="480" w:lineRule="auto"/>
        <w:rPr>
          <w:rFonts w:ascii="Times New Roman" w:hAnsi="Times New Roman"/>
          <w:i/>
          <w:sz w:val="24"/>
          <w:szCs w:val="24"/>
        </w:rPr>
      </w:pPr>
      <w:r w:rsidRPr="00A7624F">
        <w:rPr>
          <w:rFonts w:ascii="Times New Roman" w:hAnsi="Times New Roman"/>
          <w:i/>
          <w:sz w:val="24"/>
          <w:szCs w:val="24"/>
        </w:rPr>
        <w:t>R&amp;D Intensity</w:t>
      </w:r>
    </w:p>
    <w:p w:rsidR="00D537B7" w:rsidRPr="00A7624F" w:rsidRDefault="00D537B7" w:rsidP="00D537B7">
      <w:pPr>
        <w:pStyle w:val="NoSpacing"/>
        <w:spacing w:line="480" w:lineRule="auto"/>
        <w:ind w:firstLine="720"/>
        <w:rPr>
          <w:rFonts w:ascii="Times New Roman" w:hAnsi="Times New Roman"/>
          <w:sz w:val="24"/>
          <w:szCs w:val="24"/>
        </w:rPr>
      </w:pPr>
      <w:r w:rsidRPr="00A7624F">
        <w:rPr>
          <w:rFonts w:ascii="Times New Roman" w:hAnsi="Times New Roman"/>
          <w:sz w:val="24"/>
          <w:szCs w:val="24"/>
        </w:rPr>
        <w:t xml:space="preserve">We measure R&amp;D intensity </w:t>
      </w:r>
      <w:proofErr w:type="gramStart"/>
      <w:r w:rsidRPr="00A7624F">
        <w:rPr>
          <w:rFonts w:ascii="Times New Roman" w:hAnsi="Times New Roman"/>
          <w:sz w:val="24"/>
          <w:szCs w:val="24"/>
        </w:rPr>
        <w:t>similar to</w:t>
      </w:r>
      <w:proofErr w:type="gramEnd"/>
      <w:r w:rsidRPr="00A7624F">
        <w:rPr>
          <w:rFonts w:ascii="Times New Roman" w:hAnsi="Times New Roman"/>
          <w:sz w:val="24"/>
          <w:szCs w:val="24"/>
        </w:rPr>
        <w:t xml:space="preserve"> Benson and </w:t>
      </w:r>
      <w:proofErr w:type="spellStart"/>
      <w:r w:rsidRPr="00A7624F">
        <w:rPr>
          <w:rFonts w:ascii="Times New Roman" w:hAnsi="Times New Roman"/>
          <w:sz w:val="24"/>
          <w:szCs w:val="24"/>
        </w:rPr>
        <w:t>Ziedonis</w:t>
      </w:r>
      <w:proofErr w:type="spellEnd"/>
      <w:r w:rsidRPr="00A7624F">
        <w:rPr>
          <w:rFonts w:ascii="Times New Roman" w:hAnsi="Times New Roman"/>
          <w:sz w:val="24"/>
          <w:szCs w:val="24"/>
        </w:rPr>
        <w:t xml:space="preserve"> (2010) as R&amp;D expense divided by the number of employees both from COMPUSTAT.  This gives R&amp;D intensity as millions of dollars spent per employee.  Since this number is quite large relative to our depend</w:t>
      </w:r>
      <w:r w:rsidR="008D62F6" w:rsidRPr="00A7624F">
        <w:rPr>
          <w:rFonts w:ascii="Times New Roman" w:hAnsi="Times New Roman"/>
          <w:sz w:val="24"/>
          <w:szCs w:val="24"/>
        </w:rPr>
        <w:t xml:space="preserve">ent variable </w:t>
      </w:r>
      <w:proofErr w:type="gramStart"/>
      <w:r w:rsidR="008D62F6" w:rsidRPr="00A7624F">
        <w:rPr>
          <w:rFonts w:ascii="Times New Roman" w:hAnsi="Times New Roman"/>
          <w:sz w:val="24"/>
          <w:szCs w:val="24"/>
        </w:rPr>
        <w:t>CAR(</w:t>
      </w:r>
      <w:proofErr w:type="gramEnd"/>
      <w:r w:rsidR="008D62F6" w:rsidRPr="00A7624F">
        <w:rPr>
          <w:rFonts w:ascii="Times New Roman" w:hAnsi="Times New Roman"/>
          <w:sz w:val="24"/>
          <w:szCs w:val="24"/>
        </w:rPr>
        <w:t>-1,+1</w:t>
      </w:r>
      <w:r w:rsidRPr="00A7624F">
        <w:rPr>
          <w:rFonts w:ascii="Times New Roman" w:hAnsi="Times New Roman"/>
          <w:sz w:val="24"/>
          <w:szCs w:val="24"/>
        </w:rPr>
        <w:t xml:space="preserve">), we further scale it by dividing it by 100 before using it in the regression analysis which converts it into tens of millions of R&amp;D dollars spent per employee.  The role of internal R&amp;D in merger and acquisition decisions has been studied at length including Higgins and Rodriquez (2006).  It is also </w:t>
      </w:r>
      <w:proofErr w:type="gramStart"/>
      <w:r w:rsidRPr="00A7624F">
        <w:rPr>
          <w:rFonts w:ascii="Times New Roman" w:hAnsi="Times New Roman"/>
          <w:sz w:val="24"/>
          <w:szCs w:val="24"/>
        </w:rPr>
        <w:t>an important factor</w:t>
      </w:r>
      <w:proofErr w:type="gramEnd"/>
      <w:r w:rsidRPr="00A7624F">
        <w:rPr>
          <w:rFonts w:ascii="Times New Roman" w:hAnsi="Times New Roman"/>
          <w:sz w:val="24"/>
          <w:szCs w:val="24"/>
        </w:rPr>
        <w:t xml:space="preserve"> in CVC investment decisions as outlined in </w:t>
      </w:r>
      <w:proofErr w:type="spellStart"/>
      <w:r w:rsidRPr="00A7624F">
        <w:rPr>
          <w:rFonts w:ascii="Times New Roman" w:hAnsi="Times New Roman"/>
          <w:sz w:val="24"/>
          <w:szCs w:val="24"/>
        </w:rPr>
        <w:t>Dushintsky</w:t>
      </w:r>
      <w:proofErr w:type="spellEnd"/>
      <w:r w:rsidR="00601123" w:rsidRPr="00A7624F">
        <w:rPr>
          <w:rFonts w:ascii="Times New Roman" w:hAnsi="Times New Roman"/>
          <w:sz w:val="24"/>
          <w:szCs w:val="24"/>
        </w:rPr>
        <w:t xml:space="preserve"> and Lenox</w:t>
      </w:r>
      <w:r w:rsidRPr="00A7624F">
        <w:rPr>
          <w:rFonts w:ascii="Times New Roman" w:hAnsi="Times New Roman"/>
          <w:sz w:val="24"/>
          <w:szCs w:val="24"/>
        </w:rPr>
        <w:t xml:space="preserve"> (2005).</w:t>
      </w:r>
    </w:p>
    <w:p w:rsidR="00D41979" w:rsidRPr="00A7624F" w:rsidRDefault="00D537B7" w:rsidP="0092044C">
      <w:pPr>
        <w:pStyle w:val="NoSpacing"/>
        <w:spacing w:line="480" w:lineRule="auto"/>
        <w:rPr>
          <w:rFonts w:ascii="Times New Roman" w:hAnsi="Times New Roman"/>
          <w:i/>
          <w:sz w:val="24"/>
          <w:szCs w:val="24"/>
        </w:rPr>
      </w:pPr>
      <w:r w:rsidRPr="00A7624F">
        <w:rPr>
          <w:rFonts w:ascii="Times New Roman" w:hAnsi="Times New Roman"/>
          <w:i/>
          <w:sz w:val="24"/>
          <w:szCs w:val="24"/>
        </w:rPr>
        <w:t>CVC Major</w:t>
      </w:r>
      <w:r w:rsidR="00D41979" w:rsidRPr="00A7624F">
        <w:rPr>
          <w:rFonts w:ascii="Times New Roman" w:hAnsi="Times New Roman"/>
          <w:i/>
          <w:sz w:val="24"/>
          <w:szCs w:val="24"/>
        </w:rPr>
        <w:t xml:space="preserve"> Investor Status</w:t>
      </w:r>
    </w:p>
    <w:p w:rsidR="00326524" w:rsidRPr="00A7624F" w:rsidRDefault="00D41979" w:rsidP="00326524">
      <w:pPr>
        <w:pStyle w:val="NoSpacing"/>
        <w:spacing w:line="480" w:lineRule="auto"/>
        <w:ind w:firstLine="720"/>
        <w:rPr>
          <w:rFonts w:ascii="Times New Roman" w:hAnsi="Times New Roman"/>
          <w:sz w:val="24"/>
          <w:szCs w:val="24"/>
        </w:rPr>
      </w:pPr>
      <w:r w:rsidRPr="00A7624F">
        <w:rPr>
          <w:rFonts w:ascii="Times New Roman" w:hAnsi="Times New Roman"/>
          <w:sz w:val="24"/>
          <w:szCs w:val="24"/>
        </w:rPr>
        <w:t xml:space="preserve">For each CVC-investor firm in our sample, we construct a measure of proportion of funds invested as the amount of fund invested by the firm divided by the total known amount invested in the </w:t>
      </w:r>
      <w:r w:rsidR="008D62F6" w:rsidRPr="00A7624F">
        <w:rPr>
          <w:rFonts w:ascii="Times New Roman" w:hAnsi="Times New Roman"/>
          <w:sz w:val="24"/>
          <w:szCs w:val="24"/>
        </w:rPr>
        <w:t xml:space="preserve">portfolio </w:t>
      </w:r>
      <w:r w:rsidR="00326524" w:rsidRPr="00A7624F">
        <w:rPr>
          <w:rFonts w:ascii="Times New Roman" w:hAnsi="Times New Roman"/>
          <w:sz w:val="24"/>
          <w:szCs w:val="24"/>
        </w:rPr>
        <w:t>company</w:t>
      </w:r>
      <w:r w:rsidRPr="00A7624F">
        <w:rPr>
          <w:rFonts w:ascii="Times New Roman" w:hAnsi="Times New Roman"/>
          <w:sz w:val="24"/>
          <w:szCs w:val="24"/>
        </w:rPr>
        <w:t xml:space="preserve"> (target).  </w:t>
      </w:r>
      <w:r w:rsidR="00326524" w:rsidRPr="00A7624F">
        <w:rPr>
          <w:rFonts w:ascii="Times New Roman" w:hAnsi="Times New Roman"/>
          <w:sz w:val="24"/>
          <w:szCs w:val="24"/>
        </w:rPr>
        <w:t xml:space="preserve">Before eliminating data on foreign and private CVC investors for our sample targets, we create a variable that retains the largest percentage for any firm’s investment in the target relative to the total funds invested in that target.  From this information, we construct an indicator variable </w:t>
      </w:r>
      <w:r w:rsidR="00326524" w:rsidRPr="00A7624F">
        <w:rPr>
          <w:rFonts w:ascii="Times New Roman" w:hAnsi="Times New Roman"/>
          <w:i/>
          <w:sz w:val="24"/>
          <w:szCs w:val="24"/>
        </w:rPr>
        <w:t>CVC Major Investor</w:t>
      </w:r>
      <w:r w:rsidR="00326524" w:rsidRPr="00A7624F">
        <w:rPr>
          <w:rFonts w:ascii="Times New Roman" w:hAnsi="Times New Roman"/>
          <w:sz w:val="24"/>
          <w:szCs w:val="24"/>
        </w:rPr>
        <w:t xml:space="preserve"> which is equal to one if the target has a </w:t>
      </w:r>
      <w:r w:rsidR="00326524" w:rsidRPr="00A7624F">
        <w:rPr>
          <w:rFonts w:ascii="Times New Roman" w:hAnsi="Times New Roman"/>
          <w:sz w:val="24"/>
          <w:szCs w:val="24"/>
        </w:rPr>
        <w:lastRenderedPageBreak/>
        <w:t xml:space="preserve">corporate investor that put in 20% (the percentage of firm investment contribution at the 75 percentile) or more investment of all the CVC and venture capital investment in it. In other words, this variable is one when one of the CVC investor for this target can be categorized as a CVC Major Investor. </w:t>
      </w:r>
    </w:p>
    <w:p w:rsidR="00D41979" w:rsidRPr="00A7624F" w:rsidRDefault="00D41979" w:rsidP="0092044C">
      <w:pPr>
        <w:pStyle w:val="NoSpacing"/>
        <w:spacing w:line="480" w:lineRule="auto"/>
        <w:rPr>
          <w:rFonts w:ascii="Times New Roman" w:hAnsi="Times New Roman"/>
          <w:b/>
          <w:i/>
          <w:sz w:val="24"/>
          <w:szCs w:val="24"/>
        </w:rPr>
      </w:pPr>
      <w:r w:rsidRPr="00A7624F">
        <w:rPr>
          <w:rFonts w:ascii="Times New Roman" w:hAnsi="Times New Roman"/>
          <w:b/>
          <w:i/>
          <w:sz w:val="24"/>
          <w:szCs w:val="24"/>
        </w:rPr>
        <w:t>Control Variables</w:t>
      </w:r>
    </w:p>
    <w:p w:rsidR="00D41979" w:rsidRPr="00A7624F" w:rsidRDefault="00D41979" w:rsidP="0092044C">
      <w:pPr>
        <w:pStyle w:val="NoSpacing"/>
        <w:spacing w:line="480" w:lineRule="auto"/>
        <w:ind w:firstLine="720"/>
        <w:rPr>
          <w:rFonts w:ascii="Times New Roman" w:hAnsi="Times New Roman"/>
          <w:sz w:val="24"/>
          <w:szCs w:val="24"/>
        </w:rPr>
      </w:pPr>
      <w:r w:rsidRPr="00A7624F">
        <w:rPr>
          <w:rFonts w:ascii="Times New Roman" w:hAnsi="Times New Roman"/>
          <w:sz w:val="24"/>
          <w:szCs w:val="24"/>
        </w:rPr>
        <w:t xml:space="preserve">Since our sample consists of acquisitions of private targets, SDC does not list many of the deal related details in its database for these events.  After the Sarbanes-Oxley act of 2002, the requirements to report details of private-target acquisitions have increased but approximately 40% of our sample falls in the period before this change.  In line with similar studies dealing with private targets, our analysis does not include deal-related controls.  This is a clear limitation of this </w:t>
      </w:r>
      <w:r w:rsidR="00E1287E" w:rsidRPr="00A7624F">
        <w:rPr>
          <w:rFonts w:ascii="Times New Roman" w:hAnsi="Times New Roman"/>
          <w:sz w:val="24"/>
          <w:szCs w:val="24"/>
        </w:rPr>
        <w:t>study,</w:t>
      </w:r>
      <w:r w:rsidRPr="00A7624F">
        <w:rPr>
          <w:rFonts w:ascii="Times New Roman" w:hAnsi="Times New Roman"/>
          <w:sz w:val="24"/>
          <w:szCs w:val="24"/>
        </w:rPr>
        <w:t xml:space="preserve"> but it is inherent to this area of research.  Therefore, apart from two measures (target age and relatedness) and the year fixed-effects, </w:t>
      </w:r>
      <w:proofErr w:type="gramStart"/>
      <w:r w:rsidRPr="00A7624F">
        <w:rPr>
          <w:rFonts w:ascii="Times New Roman" w:hAnsi="Times New Roman"/>
          <w:sz w:val="24"/>
          <w:szCs w:val="24"/>
        </w:rPr>
        <w:t>all of</w:t>
      </w:r>
      <w:proofErr w:type="gramEnd"/>
      <w:r w:rsidRPr="00A7624F">
        <w:rPr>
          <w:rFonts w:ascii="Times New Roman" w:hAnsi="Times New Roman"/>
          <w:sz w:val="24"/>
          <w:szCs w:val="24"/>
        </w:rPr>
        <w:t xml:space="preserve"> our control variables are constructed from information belonging to the acquirers for the fiscal </w:t>
      </w:r>
      <w:r w:rsidR="00BF2966" w:rsidRPr="00A7624F">
        <w:rPr>
          <w:rFonts w:ascii="Times New Roman" w:hAnsi="Times New Roman"/>
          <w:sz w:val="24"/>
          <w:szCs w:val="24"/>
        </w:rPr>
        <w:t>year prior to the year of acquisition</w:t>
      </w:r>
      <w:r w:rsidRPr="00A7624F">
        <w:rPr>
          <w:rFonts w:ascii="Times New Roman" w:hAnsi="Times New Roman"/>
          <w:sz w:val="24"/>
          <w:szCs w:val="24"/>
        </w:rPr>
        <w:t>.</w:t>
      </w:r>
    </w:p>
    <w:p w:rsidR="00D41979" w:rsidRPr="00A7624F" w:rsidRDefault="00D41979" w:rsidP="0092044C">
      <w:pPr>
        <w:pStyle w:val="NoSpacing"/>
        <w:spacing w:line="480" w:lineRule="auto"/>
        <w:rPr>
          <w:rFonts w:ascii="Times New Roman" w:hAnsi="Times New Roman"/>
          <w:i/>
          <w:sz w:val="24"/>
          <w:szCs w:val="24"/>
        </w:rPr>
      </w:pPr>
      <w:r w:rsidRPr="00A7624F">
        <w:rPr>
          <w:rFonts w:ascii="Times New Roman" w:hAnsi="Times New Roman"/>
          <w:i/>
          <w:sz w:val="24"/>
          <w:szCs w:val="24"/>
        </w:rPr>
        <w:t>Log of total assets</w:t>
      </w:r>
    </w:p>
    <w:p w:rsidR="00D41979" w:rsidRPr="00A7624F" w:rsidRDefault="00D41979" w:rsidP="0092044C">
      <w:pPr>
        <w:pStyle w:val="NoSpacing"/>
        <w:spacing w:line="480" w:lineRule="auto"/>
        <w:ind w:firstLine="720"/>
        <w:rPr>
          <w:rFonts w:ascii="Times New Roman" w:hAnsi="Times New Roman"/>
          <w:sz w:val="24"/>
          <w:szCs w:val="24"/>
        </w:rPr>
      </w:pPr>
      <w:r w:rsidRPr="00A7624F">
        <w:rPr>
          <w:rFonts w:ascii="Times New Roman" w:hAnsi="Times New Roman"/>
          <w:sz w:val="24"/>
          <w:szCs w:val="24"/>
        </w:rPr>
        <w:t xml:space="preserve">According to Moeller, </w:t>
      </w:r>
      <w:r w:rsidR="00601123" w:rsidRPr="00A7624F">
        <w:rPr>
          <w:rFonts w:ascii="Times New Roman" w:hAnsi="Times New Roman"/>
          <w:sz w:val="24"/>
          <w:szCs w:val="24"/>
        </w:rPr>
        <w:t>et al.</w:t>
      </w:r>
      <w:r w:rsidRPr="00A7624F">
        <w:rPr>
          <w:rFonts w:ascii="Times New Roman" w:hAnsi="Times New Roman"/>
          <w:sz w:val="24"/>
          <w:szCs w:val="24"/>
        </w:rPr>
        <w:t xml:space="preserve"> (2004) the size of the acquiring firm is related to merger returns. They find that abnormal returns around merger announcement for smaller firms are higher regardless of whether the target is public or private.  Size is also considered a relevant measure for the CVC investment decision.  According to </w:t>
      </w:r>
      <w:proofErr w:type="spellStart"/>
      <w:r w:rsidRPr="00A7624F">
        <w:rPr>
          <w:rFonts w:ascii="Times New Roman" w:hAnsi="Times New Roman"/>
          <w:sz w:val="24"/>
          <w:szCs w:val="24"/>
        </w:rPr>
        <w:t>Dushintsky</w:t>
      </w:r>
      <w:proofErr w:type="spellEnd"/>
      <w:r w:rsidRPr="00A7624F">
        <w:rPr>
          <w:rFonts w:ascii="Times New Roman" w:hAnsi="Times New Roman"/>
          <w:sz w:val="24"/>
          <w:szCs w:val="24"/>
        </w:rPr>
        <w:t xml:space="preserve"> </w:t>
      </w:r>
      <w:r w:rsidR="00601123" w:rsidRPr="00A7624F">
        <w:rPr>
          <w:rFonts w:ascii="Times New Roman" w:hAnsi="Times New Roman"/>
          <w:sz w:val="24"/>
          <w:szCs w:val="24"/>
        </w:rPr>
        <w:t xml:space="preserve">and Lenox </w:t>
      </w:r>
      <w:r w:rsidRPr="00A7624F">
        <w:rPr>
          <w:rFonts w:ascii="Times New Roman" w:hAnsi="Times New Roman"/>
          <w:sz w:val="24"/>
          <w:szCs w:val="24"/>
        </w:rPr>
        <w:t xml:space="preserve">(2005), larger firms are more likely to engage in both internal R&amp;D and CVC investment.  We control for the size of the acquirer through log of book value total assets from COMPUSTAT.  </w:t>
      </w:r>
    </w:p>
    <w:p w:rsidR="00D41979" w:rsidRPr="00A7624F" w:rsidRDefault="00D41979" w:rsidP="0092044C">
      <w:pPr>
        <w:pStyle w:val="NoSpacing"/>
        <w:spacing w:line="480" w:lineRule="auto"/>
        <w:rPr>
          <w:rFonts w:ascii="Times New Roman" w:hAnsi="Times New Roman"/>
          <w:i/>
          <w:sz w:val="24"/>
          <w:szCs w:val="24"/>
        </w:rPr>
      </w:pPr>
      <w:r w:rsidRPr="00A7624F">
        <w:rPr>
          <w:rFonts w:ascii="Times New Roman" w:hAnsi="Times New Roman"/>
          <w:i/>
          <w:sz w:val="24"/>
          <w:szCs w:val="24"/>
        </w:rPr>
        <w:t>Tobin’s Q</w:t>
      </w:r>
    </w:p>
    <w:p w:rsidR="00D41979" w:rsidRPr="00A7624F" w:rsidRDefault="00D41979" w:rsidP="0092044C">
      <w:pPr>
        <w:pStyle w:val="NoSpacing"/>
        <w:spacing w:line="480" w:lineRule="auto"/>
        <w:ind w:firstLine="720"/>
        <w:rPr>
          <w:rFonts w:ascii="Times New Roman" w:hAnsi="Times New Roman"/>
          <w:sz w:val="24"/>
          <w:szCs w:val="24"/>
        </w:rPr>
      </w:pPr>
      <w:r w:rsidRPr="00A7624F">
        <w:rPr>
          <w:rFonts w:ascii="Times New Roman" w:hAnsi="Times New Roman"/>
          <w:sz w:val="24"/>
          <w:szCs w:val="24"/>
        </w:rPr>
        <w:t xml:space="preserve">We construct Tobin’s Q as market to book value of assets using COMPUSTAT data where the market value of assets is the book value of assets minus the book value of equity plus </w:t>
      </w:r>
      <w:r w:rsidRPr="00A7624F">
        <w:rPr>
          <w:rFonts w:ascii="Times New Roman" w:hAnsi="Times New Roman"/>
          <w:sz w:val="24"/>
          <w:szCs w:val="24"/>
        </w:rPr>
        <w:lastRenderedPageBreak/>
        <w:t xml:space="preserve">the market value of equity.  Tobin’s Q </w:t>
      </w:r>
      <w:proofErr w:type="gramStart"/>
      <w:r w:rsidRPr="00A7624F">
        <w:rPr>
          <w:rFonts w:ascii="Times New Roman" w:hAnsi="Times New Roman"/>
          <w:sz w:val="24"/>
          <w:szCs w:val="24"/>
        </w:rPr>
        <w:t>proxies</w:t>
      </w:r>
      <w:proofErr w:type="gramEnd"/>
      <w:r w:rsidRPr="00A7624F">
        <w:rPr>
          <w:rFonts w:ascii="Times New Roman" w:hAnsi="Times New Roman"/>
          <w:sz w:val="24"/>
          <w:szCs w:val="24"/>
        </w:rPr>
        <w:t xml:space="preserve"> growth opportunities.  Lang, </w:t>
      </w:r>
      <w:proofErr w:type="spellStart"/>
      <w:r w:rsidRPr="00A7624F">
        <w:rPr>
          <w:rFonts w:ascii="Times New Roman" w:hAnsi="Times New Roman"/>
          <w:sz w:val="24"/>
          <w:szCs w:val="24"/>
        </w:rPr>
        <w:t>Stulz</w:t>
      </w:r>
      <w:proofErr w:type="spellEnd"/>
      <w:r w:rsidRPr="00A7624F">
        <w:rPr>
          <w:rFonts w:ascii="Times New Roman" w:hAnsi="Times New Roman"/>
          <w:sz w:val="24"/>
          <w:szCs w:val="24"/>
        </w:rPr>
        <w:t>, and Walking (1989) show that acquirers with low Tobin’s Q benefit more from than those with high Tobin’s Q.  The same can be said of CVC investment.  Firms with low growth opportunities internally need to look for growth elsewhere and an acquisition provides them with such an opportunity.</w:t>
      </w:r>
    </w:p>
    <w:p w:rsidR="00D41979" w:rsidRPr="00A7624F" w:rsidRDefault="00D41979" w:rsidP="0092044C">
      <w:pPr>
        <w:pStyle w:val="NoSpacing"/>
        <w:spacing w:line="480" w:lineRule="auto"/>
        <w:rPr>
          <w:rFonts w:ascii="Times New Roman" w:hAnsi="Times New Roman"/>
          <w:i/>
          <w:sz w:val="24"/>
          <w:szCs w:val="24"/>
        </w:rPr>
      </w:pPr>
      <w:r w:rsidRPr="00A7624F">
        <w:rPr>
          <w:rFonts w:ascii="Times New Roman" w:hAnsi="Times New Roman"/>
          <w:i/>
          <w:sz w:val="24"/>
          <w:szCs w:val="24"/>
        </w:rPr>
        <w:t>Relatedness</w:t>
      </w:r>
    </w:p>
    <w:p w:rsidR="00601123" w:rsidRPr="00A7624F" w:rsidRDefault="00D41979" w:rsidP="00601123">
      <w:pPr>
        <w:pStyle w:val="NoSpacing"/>
        <w:spacing w:line="480" w:lineRule="auto"/>
        <w:ind w:firstLine="720"/>
        <w:rPr>
          <w:rFonts w:ascii="Times New Roman" w:hAnsi="Times New Roman"/>
          <w:sz w:val="24"/>
          <w:szCs w:val="24"/>
        </w:rPr>
      </w:pPr>
      <w:proofErr w:type="spellStart"/>
      <w:r w:rsidRPr="00A7624F">
        <w:rPr>
          <w:rFonts w:ascii="Times New Roman" w:hAnsi="Times New Roman"/>
          <w:sz w:val="24"/>
          <w:szCs w:val="24"/>
        </w:rPr>
        <w:t>Makri</w:t>
      </w:r>
      <w:proofErr w:type="spellEnd"/>
      <w:r w:rsidRPr="00A7624F">
        <w:rPr>
          <w:rFonts w:ascii="Times New Roman" w:hAnsi="Times New Roman"/>
          <w:sz w:val="24"/>
          <w:szCs w:val="24"/>
        </w:rPr>
        <w:t xml:space="preserve">, </w:t>
      </w:r>
      <w:r w:rsidR="00601123" w:rsidRPr="00A7624F">
        <w:rPr>
          <w:rFonts w:ascii="Times New Roman" w:hAnsi="Times New Roman"/>
          <w:sz w:val="24"/>
          <w:szCs w:val="24"/>
        </w:rPr>
        <w:t>et al. (2010</w:t>
      </w:r>
      <w:r w:rsidRPr="00A7624F">
        <w:rPr>
          <w:rFonts w:ascii="Times New Roman" w:hAnsi="Times New Roman"/>
          <w:sz w:val="24"/>
          <w:szCs w:val="24"/>
        </w:rPr>
        <w:t xml:space="preserve">) explain the role of relatedness in merger transactions in detail in their study.  They point out that the evidence on the effect of relatedness of knowledge for mergers and acquisitions is contradictory.  In general, M&amp;A literature points to better performance of horizontal mergers. </w:t>
      </w:r>
      <w:proofErr w:type="gramStart"/>
      <w:r w:rsidRPr="00A7624F">
        <w:rPr>
          <w:rFonts w:ascii="Times New Roman" w:hAnsi="Times New Roman"/>
          <w:sz w:val="24"/>
          <w:szCs w:val="24"/>
        </w:rPr>
        <w:t>In order to</w:t>
      </w:r>
      <w:proofErr w:type="gramEnd"/>
      <w:r w:rsidRPr="00A7624F">
        <w:rPr>
          <w:rFonts w:ascii="Times New Roman" w:hAnsi="Times New Roman"/>
          <w:sz w:val="24"/>
          <w:szCs w:val="24"/>
        </w:rPr>
        <w:t xml:space="preserve"> construct our measure of relatively closer relatedness between the target and acquirer/investor corporations, </w:t>
      </w:r>
      <w:r w:rsidR="007060AA" w:rsidRPr="00A7624F">
        <w:rPr>
          <w:rFonts w:ascii="Times New Roman" w:hAnsi="Times New Roman"/>
          <w:sz w:val="24"/>
          <w:szCs w:val="24"/>
        </w:rPr>
        <w:t xml:space="preserve">we </w:t>
      </w:r>
      <w:r w:rsidRPr="00A7624F">
        <w:rPr>
          <w:rFonts w:ascii="Times New Roman" w:hAnsi="Times New Roman"/>
          <w:sz w:val="24"/>
          <w:szCs w:val="24"/>
        </w:rPr>
        <w:t>obtain the SIC code information from COMPUSTAT’s historical SIC code in the fiscal year prior t</w:t>
      </w:r>
      <w:r w:rsidR="007060AA" w:rsidRPr="00A7624F">
        <w:rPr>
          <w:rFonts w:ascii="Times New Roman" w:hAnsi="Times New Roman"/>
          <w:sz w:val="24"/>
          <w:szCs w:val="24"/>
        </w:rPr>
        <w:t>o the merger year for investor/</w:t>
      </w:r>
      <w:r w:rsidRPr="00A7624F">
        <w:rPr>
          <w:rFonts w:ascii="Times New Roman" w:hAnsi="Times New Roman"/>
          <w:sz w:val="24"/>
          <w:szCs w:val="24"/>
        </w:rPr>
        <w:t xml:space="preserve">acquirers.  For the targets, we obtain the SIC codes from the </w:t>
      </w:r>
      <w:proofErr w:type="spellStart"/>
      <w:r w:rsidRPr="00A7624F">
        <w:rPr>
          <w:rFonts w:ascii="Times New Roman" w:hAnsi="Times New Roman"/>
          <w:sz w:val="24"/>
          <w:szCs w:val="24"/>
        </w:rPr>
        <w:t>VentureXpert</w:t>
      </w:r>
      <w:proofErr w:type="spellEnd"/>
      <w:r w:rsidRPr="00A7624F">
        <w:rPr>
          <w:rFonts w:ascii="Times New Roman" w:hAnsi="Times New Roman"/>
          <w:sz w:val="24"/>
          <w:szCs w:val="24"/>
        </w:rPr>
        <w:t xml:space="preserve"> database.  If that information is missing, we fill it using the target SIC code in the SDC M&amp;A record where available.  We are still left with some missing values in each group and we treat those records as such.</w:t>
      </w:r>
      <w:r w:rsidR="007060AA" w:rsidRPr="00A7624F">
        <w:rPr>
          <w:rFonts w:ascii="Times New Roman" w:hAnsi="Times New Roman"/>
          <w:sz w:val="24"/>
          <w:szCs w:val="24"/>
        </w:rPr>
        <w:t xml:space="preserve">  An </w:t>
      </w:r>
      <w:r w:rsidRPr="00A7624F">
        <w:rPr>
          <w:rFonts w:ascii="Times New Roman" w:hAnsi="Times New Roman"/>
          <w:sz w:val="24"/>
          <w:szCs w:val="24"/>
        </w:rPr>
        <w:t xml:space="preserve">indicator variable called Related </w:t>
      </w:r>
      <w:r w:rsidR="007060AA" w:rsidRPr="00A7624F">
        <w:rPr>
          <w:rFonts w:ascii="Times New Roman" w:hAnsi="Times New Roman"/>
          <w:sz w:val="24"/>
          <w:szCs w:val="24"/>
        </w:rPr>
        <w:t xml:space="preserve">is created with the value of </w:t>
      </w:r>
      <w:r w:rsidRPr="00A7624F">
        <w:rPr>
          <w:rFonts w:ascii="Times New Roman" w:hAnsi="Times New Roman"/>
          <w:sz w:val="24"/>
          <w:szCs w:val="24"/>
        </w:rPr>
        <w:t xml:space="preserve">1 if both the investors/acquirers and respective targets </w:t>
      </w:r>
      <w:r w:rsidR="007060AA" w:rsidRPr="00A7624F">
        <w:rPr>
          <w:rFonts w:ascii="Times New Roman" w:hAnsi="Times New Roman"/>
          <w:sz w:val="24"/>
          <w:szCs w:val="24"/>
        </w:rPr>
        <w:t>have the same 2-digit SIC</w:t>
      </w:r>
      <w:r w:rsidRPr="00A7624F">
        <w:rPr>
          <w:rFonts w:ascii="Times New Roman" w:hAnsi="Times New Roman"/>
          <w:sz w:val="24"/>
          <w:szCs w:val="24"/>
        </w:rPr>
        <w:t xml:space="preserve">; zero otherwise.  </w:t>
      </w:r>
      <w:r w:rsidR="00601123" w:rsidRPr="00A7624F">
        <w:rPr>
          <w:rFonts w:ascii="Times New Roman" w:hAnsi="Times New Roman"/>
          <w:sz w:val="24"/>
          <w:szCs w:val="24"/>
        </w:rPr>
        <w:t xml:space="preserve">Among CVC-acquirers, 59 out of 132 corporations are related to their targets through this measure.  Of the third-party acquirers 637 out of 1,250 acquired a closely related target. </w:t>
      </w:r>
    </w:p>
    <w:p w:rsidR="00D41979" w:rsidRPr="00A7624F" w:rsidRDefault="00D41979" w:rsidP="00601123">
      <w:pPr>
        <w:pStyle w:val="NoSpacing"/>
        <w:spacing w:line="480" w:lineRule="auto"/>
        <w:rPr>
          <w:rFonts w:ascii="Times New Roman" w:hAnsi="Times New Roman"/>
          <w:i/>
          <w:sz w:val="24"/>
          <w:szCs w:val="24"/>
        </w:rPr>
      </w:pPr>
      <w:r w:rsidRPr="00A7624F">
        <w:rPr>
          <w:rFonts w:ascii="Times New Roman" w:hAnsi="Times New Roman"/>
          <w:i/>
          <w:sz w:val="24"/>
          <w:szCs w:val="24"/>
        </w:rPr>
        <w:t>Target Age</w:t>
      </w:r>
    </w:p>
    <w:p w:rsidR="00D41979" w:rsidRPr="00A7624F" w:rsidRDefault="00D41979" w:rsidP="0092044C">
      <w:pPr>
        <w:pStyle w:val="NoSpacing"/>
        <w:spacing w:line="480" w:lineRule="auto"/>
        <w:ind w:firstLine="720"/>
        <w:rPr>
          <w:rFonts w:ascii="Times New Roman" w:hAnsi="Times New Roman"/>
          <w:sz w:val="24"/>
          <w:szCs w:val="24"/>
        </w:rPr>
      </w:pPr>
      <w:proofErr w:type="spellStart"/>
      <w:r w:rsidRPr="00A7624F">
        <w:rPr>
          <w:rFonts w:ascii="Times New Roman" w:hAnsi="Times New Roman"/>
          <w:sz w:val="24"/>
          <w:szCs w:val="24"/>
        </w:rPr>
        <w:t>Ransbotham</w:t>
      </w:r>
      <w:proofErr w:type="spellEnd"/>
      <w:r w:rsidRPr="00A7624F">
        <w:rPr>
          <w:rFonts w:ascii="Times New Roman" w:hAnsi="Times New Roman"/>
          <w:sz w:val="24"/>
          <w:szCs w:val="24"/>
        </w:rPr>
        <w:t xml:space="preserve"> and </w:t>
      </w:r>
      <w:proofErr w:type="spellStart"/>
      <w:r w:rsidRPr="00A7624F">
        <w:rPr>
          <w:rFonts w:ascii="Times New Roman" w:hAnsi="Times New Roman"/>
          <w:sz w:val="24"/>
          <w:szCs w:val="24"/>
        </w:rPr>
        <w:t>Mitra</w:t>
      </w:r>
      <w:proofErr w:type="spellEnd"/>
      <w:r w:rsidRPr="00A7624F">
        <w:rPr>
          <w:rFonts w:ascii="Times New Roman" w:hAnsi="Times New Roman"/>
          <w:sz w:val="24"/>
          <w:szCs w:val="24"/>
        </w:rPr>
        <w:t xml:space="preserve"> (2010) show a negative effect of target age on acquirer value.  We construct this measure using information from three sources.  If the founding date for the target company was given on </w:t>
      </w:r>
      <w:proofErr w:type="spellStart"/>
      <w:r w:rsidRPr="00A7624F">
        <w:rPr>
          <w:rFonts w:ascii="Times New Roman" w:hAnsi="Times New Roman"/>
          <w:sz w:val="24"/>
          <w:szCs w:val="24"/>
        </w:rPr>
        <w:t>VentureXpert</w:t>
      </w:r>
      <w:proofErr w:type="spellEnd"/>
      <w:r w:rsidRPr="00A7624F">
        <w:rPr>
          <w:rFonts w:ascii="Times New Roman" w:hAnsi="Times New Roman"/>
          <w:sz w:val="24"/>
          <w:szCs w:val="24"/>
        </w:rPr>
        <w:t xml:space="preserve">, we use the difference between merger announcement date lagged one year and the founding date to obtain target age in years one year prior to the merger </w:t>
      </w:r>
      <w:r w:rsidRPr="00A7624F">
        <w:rPr>
          <w:rFonts w:ascii="Times New Roman" w:hAnsi="Times New Roman"/>
          <w:sz w:val="24"/>
          <w:szCs w:val="24"/>
        </w:rPr>
        <w:lastRenderedPageBreak/>
        <w:t xml:space="preserve">announcement date.  If the founding date is missing in </w:t>
      </w:r>
      <w:proofErr w:type="spellStart"/>
      <w:r w:rsidRPr="00A7624F">
        <w:rPr>
          <w:rFonts w:ascii="Times New Roman" w:hAnsi="Times New Roman"/>
          <w:sz w:val="24"/>
          <w:szCs w:val="24"/>
        </w:rPr>
        <w:t>VentureXpert</w:t>
      </w:r>
      <w:proofErr w:type="spellEnd"/>
      <w:r w:rsidRPr="00A7624F">
        <w:rPr>
          <w:rFonts w:ascii="Times New Roman" w:hAnsi="Times New Roman"/>
          <w:sz w:val="24"/>
          <w:szCs w:val="24"/>
        </w:rPr>
        <w:t xml:space="preserve">, we use the founding date of target from the SDC M&amp;A database.  In a small number of cases, this information is missing in both databases in which case we proxy the first investing round date for the founding year of the target. </w:t>
      </w:r>
    </w:p>
    <w:p w:rsidR="00D41979" w:rsidRPr="00A7624F" w:rsidRDefault="00D41979" w:rsidP="0092044C">
      <w:pPr>
        <w:pStyle w:val="NoSpacing"/>
        <w:spacing w:line="480" w:lineRule="auto"/>
        <w:rPr>
          <w:rFonts w:ascii="Times New Roman" w:hAnsi="Times New Roman"/>
          <w:i/>
          <w:sz w:val="24"/>
          <w:szCs w:val="24"/>
        </w:rPr>
      </w:pPr>
      <w:r w:rsidRPr="00A7624F">
        <w:rPr>
          <w:rFonts w:ascii="Times New Roman" w:hAnsi="Times New Roman"/>
          <w:i/>
          <w:sz w:val="24"/>
          <w:szCs w:val="24"/>
        </w:rPr>
        <w:t>In-IT</w:t>
      </w:r>
    </w:p>
    <w:p w:rsidR="00D41979" w:rsidRPr="00A7624F" w:rsidRDefault="00D41979" w:rsidP="0092044C">
      <w:pPr>
        <w:pStyle w:val="NoSpacing"/>
        <w:spacing w:line="480" w:lineRule="auto"/>
        <w:ind w:firstLine="720"/>
        <w:rPr>
          <w:rFonts w:ascii="Times New Roman" w:hAnsi="Times New Roman"/>
          <w:sz w:val="24"/>
          <w:szCs w:val="24"/>
        </w:rPr>
      </w:pPr>
      <w:r w:rsidRPr="00A7624F">
        <w:rPr>
          <w:rFonts w:ascii="Times New Roman" w:hAnsi="Times New Roman"/>
          <w:sz w:val="24"/>
          <w:szCs w:val="24"/>
        </w:rPr>
        <w:t xml:space="preserve">In a cross-sectional study, controlling for industry effects is quite standard.  In our case, as evidenced by Table 4, our sample can broadly be divided into two categories: belonging to information technology field or not.  We, therefore, control for industry effects through an indicator variable In-IT which is equal to one if the acquirer/investor corporation has these SIC codes: 737, 357, 367, 481, 484, 366, 381, or 382; and zero otherwise (Benson and </w:t>
      </w:r>
      <w:proofErr w:type="spellStart"/>
      <w:r w:rsidRPr="00A7624F">
        <w:rPr>
          <w:rFonts w:ascii="Times New Roman" w:hAnsi="Times New Roman"/>
          <w:sz w:val="24"/>
          <w:szCs w:val="24"/>
        </w:rPr>
        <w:t>Ziedonis</w:t>
      </w:r>
      <w:proofErr w:type="spellEnd"/>
      <w:r w:rsidRPr="00A7624F">
        <w:rPr>
          <w:rFonts w:ascii="Times New Roman" w:hAnsi="Times New Roman"/>
          <w:sz w:val="24"/>
          <w:szCs w:val="24"/>
        </w:rPr>
        <w:t>, 2010)</w:t>
      </w:r>
    </w:p>
    <w:p w:rsidR="00D41979" w:rsidRPr="00A7624F" w:rsidRDefault="00617B44" w:rsidP="00617B44">
      <w:pPr>
        <w:pStyle w:val="NoSpacing"/>
        <w:spacing w:line="480" w:lineRule="auto"/>
        <w:jc w:val="center"/>
        <w:rPr>
          <w:rFonts w:ascii="Times New Roman" w:hAnsi="Times New Roman"/>
          <w:b/>
          <w:sz w:val="24"/>
          <w:szCs w:val="24"/>
        </w:rPr>
      </w:pPr>
      <w:r w:rsidRPr="00A7624F">
        <w:rPr>
          <w:rFonts w:ascii="Times New Roman" w:hAnsi="Times New Roman"/>
          <w:b/>
          <w:sz w:val="24"/>
          <w:szCs w:val="24"/>
        </w:rPr>
        <w:t>EMPIRICAL RESULTS</w:t>
      </w:r>
    </w:p>
    <w:p w:rsidR="00D41979" w:rsidRPr="00A7624F" w:rsidRDefault="00D41979" w:rsidP="0092044C">
      <w:pPr>
        <w:pStyle w:val="NoSpacing"/>
        <w:spacing w:line="480" w:lineRule="auto"/>
        <w:rPr>
          <w:rFonts w:ascii="Times New Roman" w:hAnsi="Times New Roman"/>
          <w:b/>
          <w:sz w:val="24"/>
          <w:szCs w:val="24"/>
        </w:rPr>
      </w:pPr>
      <w:r w:rsidRPr="00A7624F">
        <w:rPr>
          <w:rFonts w:ascii="Times New Roman" w:hAnsi="Times New Roman"/>
          <w:b/>
          <w:sz w:val="24"/>
          <w:szCs w:val="24"/>
        </w:rPr>
        <w:t>Market reactions to acquisitions of portfolio companies</w:t>
      </w:r>
    </w:p>
    <w:p w:rsidR="002070F0" w:rsidRPr="00A7624F" w:rsidRDefault="00D41979" w:rsidP="0092044C">
      <w:pPr>
        <w:pStyle w:val="NoSpacing"/>
        <w:spacing w:line="480" w:lineRule="auto"/>
        <w:rPr>
          <w:rFonts w:ascii="Times New Roman" w:hAnsi="Times New Roman"/>
          <w:sz w:val="24"/>
          <w:szCs w:val="24"/>
        </w:rPr>
      </w:pPr>
      <w:r w:rsidRPr="00A7624F">
        <w:rPr>
          <w:rFonts w:ascii="Times New Roman" w:hAnsi="Times New Roman"/>
          <w:sz w:val="24"/>
          <w:szCs w:val="24"/>
        </w:rPr>
        <w:t>The event st</w:t>
      </w:r>
      <w:r w:rsidR="00E507F5" w:rsidRPr="00A7624F">
        <w:rPr>
          <w:rFonts w:ascii="Times New Roman" w:hAnsi="Times New Roman"/>
          <w:sz w:val="24"/>
          <w:szCs w:val="24"/>
        </w:rPr>
        <w:t>udy results are shown in Table 4</w:t>
      </w:r>
      <w:r w:rsidR="008D78B2" w:rsidRPr="00A7624F">
        <w:rPr>
          <w:rFonts w:ascii="Times New Roman" w:hAnsi="Times New Roman"/>
          <w:sz w:val="24"/>
          <w:szCs w:val="24"/>
        </w:rPr>
        <w:t>. The estimated CAR is 0.64</w:t>
      </w:r>
      <w:r w:rsidRPr="00A7624F">
        <w:rPr>
          <w:rFonts w:ascii="Times New Roman" w:hAnsi="Times New Roman"/>
          <w:sz w:val="24"/>
          <w:szCs w:val="24"/>
        </w:rPr>
        <w:t>% on average for the sample of</w:t>
      </w:r>
      <w:r w:rsidR="008D78B2" w:rsidRPr="00A7624F">
        <w:rPr>
          <w:rFonts w:ascii="Times New Roman" w:hAnsi="Times New Roman"/>
          <w:sz w:val="24"/>
          <w:szCs w:val="24"/>
        </w:rPr>
        <w:t xml:space="preserve"> third party acquirers and -0.15</w:t>
      </w:r>
      <w:r w:rsidRPr="00A7624F">
        <w:rPr>
          <w:rFonts w:ascii="Times New Roman" w:hAnsi="Times New Roman"/>
          <w:sz w:val="24"/>
          <w:szCs w:val="24"/>
        </w:rPr>
        <w:t xml:space="preserve">% for the sample of CVC investor acquirers.  </w:t>
      </w:r>
      <w:r w:rsidR="008D78B2" w:rsidRPr="00A7624F">
        <w:rPr>
          <w:rFonts w:ascii="Times New Roman" w:hAnsi="Times New Roman"/>
          <w:sz w:val="24"/>
          <w:szCs w:val="24"/>
        </w:rPr>
        <w:t>T</w:t>
      </w:r>
      <w:r w:rsidRPr="00A7624F">
        <w:rPr>
          <w:rFonts w:ascii="Times New Roman" w:hAnsi="Times New Roman"/>
          <w:sz w:val="24"/>
          <w:szCs w:val="24"/>
        </w:rPr>
        <w:t>he mean differenc</w:t>
      </w:r>
      <w:r w:rsidR="008D78B2" w:rsidRPr="00A7624F">
        <w:rPr>
          <w:rFonts w:ascii="Times New Roman" w:hAnsi="Times New Roman"/>
          <w:sz w:val="24"/>
          <w:szCs w:val="24"/>
        </w:rPr>
        <w:t xml:space="preserve">e between the two groups is </w:t>
      </w:r>
      <w:r w:rsidRPr="00A7624F">
        <w:rPr>
          <w:rFonts w:ascii="Times New Roman" w:hAnsi="Times New Roman"/>
          <w:sz w:val="24"/>
          <w:szCs w:val="24"/>
        </w:rPr>
        <w:t>significantly different from zero</w:t>
      </w:r>
      <w:r w:rsidR="008D78B2" w:rsidRPr="00A7624F">
        <w:rPr>
          <w:rFonts w:ascii="Times New Roman" w:hAnsi="Times New Roman"/>
          <w:sz w:val="24"/>
          <w:szCs w:val="24"/>
        </w:rPr>
        <w:t xml:space="preserve"> (p&lt;0.05)</w:t>
      </w:r>
      <w:r w:rsidRPr="00A7624F">
        <w:rPr>
          <w:rFonts w:ascii="Times New Roman" w:hAnsi="Times New Roman"/>
          <w:sz w:val="24"/>
          <w:szCs w:val="24"/>
        </w:rPr>
        <w:t xml:space="preserve">.  </w:t>
      </w:r>
      <w:r w:rsidR="008D78B2" w:rsidRPr="00A7624F">
        <w:rPr>
          <w:rFonts w:ascii="Times New Roman" w:hAnsi="Times New Roman"/>
          <w:sz w:val="24"/>
          <w:szCs w:val="24"/>
        </w:rPr>
        <w:t>This finding is in support of our first hypothesis.</w:t>
      </w:r>
    </w:p>
    <w:p w:rsidR="002070F0" w:rsidRPr="00A7624F" w:rsidRDefault="002070F0" w:rsidP="002070F0">
      <w:pPr>
        <w:pStyle w:val="NoSpacing"/>
        <w:spacing w:line="480" w:lineRule="auto"/>
        <w:jc w:val="center"/>
        <w:rPr>
          <w:rFonts w:ascii="Times New Roman" w:hAnsi="Times New Roman"/>
          <w:i/>
          <w:sz w:val="24"/>
          <w:szCs w:val="24"/>
        </w:rPr>
      </w:pPr>
      <w:r w:rsidRPr="00A7624F">
        <w:rPr>
          <w:rFonts w:ascii="Times New Roman" w:hAnsi="Times New Roman"/>
          <w:i/>
          <w:sz w:val="24"/>
          <w:szCs w:val="24"/>
        </w:rPr>
        <w:t>Insert Table 4 about here</w:t>
      </w:r>
    </w:p>
    <w:p w:rsidR="003541AC" w:rsidRPr="00A7624F" w:rsidRDefault="008D78B2" w:rsidP="008D78B2">
      <w:pPr>
        <w:pStyle w:val="NoSpacing"/>
        <w:spacing w:line="480" w:lineRule="auto"/>
        <w:ind w:firstLine="720"/>
        <w:rPr>
          <w:rFonts w:ascii="Times New Roman" w:hAnsi="Times New Roman"/>
          <w:sz w:val="24"/>
          <w:szCs w:val="24"/>
        </w:rPr>
      </w:pPr>
      <w:r w:rsidRPr="00A7624F">
        <w:rPr>
          <w:rFonts w:ascii="Times New Roman" w:hAnsi="Times New Roman"/>
          <w:sz w:val="24"/>
          <w:szCs w:val="24"/>
        </w:rPr>
        <w:t xml:space="preserve">The results of event study from univariate analyses </w:t>
      </w:r>
      <w:r w:rsidR="00E1287E" w:rsidRPr="00A7624F">
        <w:rPr>
          <w:rFonts w:ascii="Times New Roman" w:hAnsi="Times New Roman"/>
          <w:sz w:val="24"/>
          <w:szCs w:val="24"/>
        </w:rPr>
        <w:t>must</w:t>
      </w:r>
      <w:r w:rsidRPr="00A7624F">
        <w:rPr>
          <w:rFonts w:ascii="Times New Roman" w:hAnsi="Times New Roman"/>
          <w:sz w:val="24"/>
          <w:szCs w:val="24"/>
        </w:rPr>
        <w:t xml:space="preserve"> be interpreted with caution.  A natural concern is that the market reaction may reflect updated investor expectations about the acquirer’s value for reasons that are not related to the </w:t>
      </w:r>
      <w:r w:rsidR="00E1287E" w:rsidRPr="00A7624F">
        <w:rPr>
          <w:rFonts w:ascii="Times New Roman" w:hAnsi="Times New Roman"/>
          <w:sz w:val="24"/>
          <w:szCs w:val="24"/>
        </w:rPr>
        <w:t>acquisition</w:t>
      </w:r>
      <w:r w:rsidRPr="00A7624F">
        <w:rPr>
          <w:rFonts w:ascii="Times New Roman" w:hAnsi="Times New Roman"/>
          <w:sz w:val="24"/>
          <w:szCs w:val="24"/>
        </w:rPr>
        <w:t xml:space="preserve"> deal (Benson &amp; </w:t>
      </w:r>
      <w:proofErr w:type="spellStart"/>
      <w:r w:rsidRPr="00A7624F">
        <w:rPr>
          <w:rFonts w:ascii="Times New Roman" w:hAnsi="Times New Roman"/>
          <w:sz w:val="24"/>
          <w:szCs w:val="24"/>
        </w:rPr>
        <w:t>Ziedonis</w:t>
      </w:r>
      <w:proofErr w:type="spellEnd"/>
      <w:r w:rsidRPr="00A7624F">
        <w:rPr>
          <w:rFonts w:ascii="Times New Roman" w:hAnsi="Times New Roman"/>
          <w:sz w:val="24"/>
          <w:szCs w:val="24"/>
        </w:rPr>
        <w:t xml:space="preserve">, 2010).  As discussed earlier, numerous factors can affect the stock market reaction to acquisition announcements including characteristics of acquirers, targets, and deals. Thus, we further </w:t>
      </w:r>
      <w:r w:rsidRPr="00A7624F">
        <w:rPr>
          <w:rFonts w:ascii="Times New Roman" w:hAnsi="Times New Roman"/>
          <w:sz w:val="24"/>
          <w:szCs w:val="24"/>
        </w:rPr>
        <w:lastRenderedPageBreak/>
        <w:t xml:space="preserve">investigate whether the difference in CARs </w:t>
      </w:r>
      <w:r w:rsidR="002070F0" w:rsidRPr="00A7624F">
        <w:rPr>
          <w:rFonts w:ascii="Times New Roman" w:hAnsi="Times New Roman"/>
          <w:sz w:val="24"/>
          <w:szCs w:val="24"/>
        </w:rPr>
        <w:t>with the pooled sample of both CVC investor acquirers and third-party acquirers.</w:t>
      </w:r>
      <w:r w:rsidR="003541AC" w:rsidRPr="00A7624F">
        <w:rPr>
          <w:rFonts w:ascii="Times New Roman" w:hAnsi="Times New Roman"/>
          <w:sz w:val="24"/>
          <w:szCs w:val="24"/>
        </w:rPr>
        <w:t xml:space="preserve">  </w:t>
      </w:r>
      <w:r w:rsidR="002070F0" w:rsidRPr="00A7624F">
        <w:rPr>
          <w:rFonts w:ascii="Times New Roman" w:hAnsi="Times New Roman"/>
          <w:sz w:val="24"/>
          <w:szCs w:val="24"/>
        </w:rPr>
        <w:t>Table 5</w:t>
      </w:r>
      <w:r w:rsidRPr="00A7624F">
        <w:rPr>
          <w:rFonts w:ascii="Times New Roman" w:hAnsi="Times New Roman"/>
          <w:sz w:val="24"/>
          <w:szCs w:val="24"/>
        </w:rPr>
        <w:t xml:space="preserve"> reports the OLS regression results regarding market reactions to announcements for acquisitions by CVC corporate investors</w:t>
      </w:r>
      <w:r w:rsidR="002070F0" w:rsidRPr="00A7624F">
        <w:rPr>
          <w:rFonts w:ascii="Times New Roman" w:hAnsi="Times New Roman"/>
          <w:sz w:val="24"/>
          <w:szCs w:val="24"/>
        </w:rPr>
        <w:t xml:space="preserve"> and third-party acquirers</w:t>
      </w:r>
      <w:r w:rsidRPr="00A7624F">
        <w:rPr>
          <w:rFonts w:ascii="Times New Roman" w:hAnsi="Times New Roman"/>
          <w:sz w:val="24"/>
          <w:szCs w:val="24"/>
        </w:rPr>
        <w:t xml:space="preserve">. All the regression models are controlled for year fixed effects. </w:t>
      </w:r>
      <w:r w:rsidR="003541AC" w:rsidRPr="00A7624F">
        <w:rPr>
          <w:rFonts w:ascii="Times New Roman" w:hAnsi="Times New Roman"/>
          <w:sz w:val="24"/>
          <w:szCs w:val="24"/>
        </w:rPr>
        <w:t xml:space="preserve">The results show that whether the acquirer is CVC investor of target company is negatively related to the CARs at the significance level of 0.05 after controlling other factors.  This multivariate analysis provides additional evidence in support of H1. </w:t>
      </w:r>
    </w:p>
    <w:p w:rsidR="00937BD5" w:rsidRPr="00A7624F" w:rsidRDefault="00937BD5" w:rsidP="00937BD5">
      <w:pPr>
        <w:pStyle w:val="NoSpacing"/>
        <w:spacing w:line="480" w:lineRule="auto"/>
        <w:jc w:val="center"/>
        <w:rPr>
          <w:rFonts w:ascii="Times New Roman" w:hAnsi="Times New Roman"/>
          <w:i/>
          <w:sz w:val="24"/>
          <w:szCs w:val="24"/>
        </w:rPr>
      </w:pPr>
      <w:r w:rsidRPr="00A7624F">
        <w:rPr>
          <w:rFonts w:ascii="Times New Roman" w:hAnsi="Times New Roman"/>
          <w:i/>
          <w:sz w:val="24"/>
          <w:szCs w:val="24"/>
        </w:rPr>
        <w:t xml:space="preserve">Insert Table </w:t>
      </w:r>
      <w:r w:rsidR="00D56213" w:rsidRPr="00A7624F">
        <w:rPr>
          <w:rFonts w:ascii="Times New Roman" w:hAnsi="Times New Roman"/>
          <w:i/>
          <w:sz w:val="24"/>
          <w:szCs w:val="24"/>
        </w:rPr>
        <w:t>5</w:t>
      </w:r>
      <w:r w:rsidRPr="00A7624F">
        <w:rPr>
          <w:rFonts w:ascii="Times New Roman" w:hAnsi="Times New Roman"/>
          <w:i/>
          <w:sz w:val="24"/>
          <w:szCs w:val="24"/>
        </w:rPr>
        <w:t xml:space="preserve"> about here</w:t>
      </w:r>
    </w:p>
    <w:p w:rsidR="003541AC" w:rsidRPr="00A7624F" w:rsidRDefault="00937BD5" w:rsidP="003541AC">
      <w:pPr>
        <w:pStyle w:val="NoSpacing"/>
        <w:spacing w:line="480" w:lineRule="auto"/>
        <w:rPr>
          <w:rFonts w:ascii="Times New Roman" w:hAnsi="Times New Roman"/>
          <w:b/>
          <w:sz w:val="24"/>
          <w:szCs w:val="24"/>
        </w:rPr>
      </w:pPr>
      <w:r w:rsidRPr="00A7624F">
        <w:rPr>
          <w:rFonts w:ascii="Times New Roman" w:hAnsi="Times New Roman"/>
          <w:b/>
          <w:sz w:val="24"/>
          <w:szCs w:val="24"/>
        </w:rPr>
        <w:t xml:space="preserve">Impacts of </w:t>
      </w:r>
      <w:r w:rsidR="00B107D7" w:rsidRPr="00A7624F">
        <w:rPr>
          <w:rFonts w:ascii="Times New Roman" w:hAnsi="Times New Roman"/>
          <w:b/>
          <w:sz w:val="24"/>
          <w:szCs w:val="24"/>
        </w:rPr>
        <w:t>Acquirer</w:t>
      </w:r>
      <w:r w:rsidRPr="00A7624F">
        <w:rPr>
          <w:rFonts w:ascii="Times New Roman" w:hAnsi="Times New Roman"/>
          <w:b/>
          <w:sz w:val="24"/>
          <w:szCs w:val="24"/>
        </w:rPr>
        <w:t xml:space="preserve"> In-house R&amp;D and Major Investor Status on Market Reactions</w:t>
      </w:r>
    </w:p>
    <w:p w:rsidR="00D41979" w:rsidRPr="00A7624F" w:rsidRDefault="00937BD5" w:rsidP="0092044C">
      <w:pPr>
        <w:pStyle w:val="NoSpacing"/>
        <w:spacing w:line="480" w:lineRule="auto"/>
        <w:ind w:firstLine="720"/>
        <w:rPr>
          <w:rFonts w:ascii="Times New Roman" w:hAnsi="Times New Roman"/>
          <w:sz w:val="24"/>
          <w:szCs w:val="24"/>
        </w:rPr>
      </w:pPr>
      <w:r w:rsidRPr="00A7624F">
        <w:rPr>
          <w:rFonts w:ascii="Times New Roman" w:hAnsi="Times New Roman"/>
          <w:sz w:val="24"/>
          <w:szCs w:val="24"/>
        </w:rPr>
        <w:t>Models 1-3 in Table 6 reports the panel regression results regarding market reactions to announcements for acquisitions by CVC invest</w:t>
      </w:r>
      <w:r w:rsidR="00EF1CF7" w:rsidRPr="00A7624F">
        <w:rPr>
          <w:rFonts w:ascii="Times New Roman" w:hAnsi="Times New Roman"/>
          <w:sz w:val="24"/>
          <w:szCs w:val="24"/>
        </w:rPr>
        <w:t xml:space="preserve">ors; </w:t>
      </w:r>
      <w:r w:rsidR="00E1287E" w:rsidRPr="00A7624F">
        <w:rPr>
          <w:rFonts w:ascii="Times New Roman" w:hAnsi="Times New Roman"/>
          <w:sz w:val="24"/>
          <w:szCs w:val="24"/>
        </w:rPr>
        <w:t>specifically,</w:t>
      </w:r>
      <w:r w:rsidR="00EF1CF7" w:rsidRPr="00A7624F">
        <w:rPr>
          <w:rFonts w:ascii="Times New Roman" w:hAnsi="Times New Roman"/>
          <w:sz w:val="24"/>
          <w:szCs w:val="24"/>
        </w:rPr>
        <w:t xml:space="preserve"> we examine a moderator </w:t>
      </w:r>
      <w:r w:rsidRPr="00A7624F">
        <w:rPr>
          <w:rFonts w:ascii="Times New Roman" w:hAnsi="Times New Roman"/>
          <w:sz w:val="24"/>
          <w:szCs w:val="24"/>
        </w:rPr>
        <w:t xml:space="preserve">impact of CVC investor acquirer’s </w:t>
      </w:r>
      <w:r w:rsidR="00EF1CF7" w:rsidRPr="00A7624F">
        <w:rPr>
          <w:rFonts w:ascii="Times New Roman" w:hAnsi="Times New Roman"/>
          <w:sz w:val="24"/>
          <w:szCs w:val="24"/>
        </w:rPr>
        <w:t xml:space="preserve">major investor status on the relationship between CVC investor’s </w:t>
      </w:r>
      <w:r w:rsidRPr="00A7624F">
        <w:rPr>
          <w:rFonts w:ascii="Times New Roman" w:hAnsi="Times New Roman"/>
          <w:sz w:val="24"/>
          <w:szCs w:val="24"/>
        </w:rPr>
        <w:t>in-house R&amp;D and market reactions to the announcement of acquisition as Hypothesis 2 proposes.  All the regression models are controlled for year fixed effects. To test the interactive impact, we first add R&amp;D intensity with all the controls in the regression model (</w:t>
      </w:r>
      <w:r w:rsidR="00D41979" w:rsidRPr="00A7624F">
        <w:rPr>
          <w:rFonts w:ascii="Times New Roman" w:hAnsi="Times New Roman"/>
          <w:sz w:val="24"/>
          <w:szCs w:val="24"/>
        </w:rPr>
        <w:t>Column 1</w:t>
      </w:r>
      <w:r w:rsidRPr="00A7624F">
        <w:rPr>
          <w:rFonts w:ascii="Times New Roman" w:hAnsi="Times New Roman"/>
          <w:sz w:val="24"/>
          <w:szCs w:val="24"/>
        </w:rPr>
        <w:t>),</w:t>
      </w:r>
      <w:r w:rsidR="00A90020" w:rsidRPr="00A7624F">
        <w:rPr>
          <w:rFonts w:ascii="Times New Roman" w:hAnsi="Times New Roman"/>
          <w:sz w:val="24"/>
          <w:szCs w:val="24"/>
        </w:rPr>
        <w:t xml:space="preserve"> </w:t>
      </w:r>
      <w:r w:rsidRPr="00A7624F">
        <w:rPr>
          <w:rFonts w:ascii="Times New Roman" w:hAnsi="Times New Roman"/>
          <w:sz w:val="24"/>
          <w:szCs w:val="24"/>
        </w:rPr>
        <w:t xml:space="preserve">then </w:t>
      </w:r>
      <w:r w:rsidR="00A90020" w:rsidRPr="00A7624F">
        <w:rPr>
          <w:rFonts w:ascii="Times New Roman" w:hAnsi="Times New Roman"/>
          <w:sz w:val="24"/>
          <w:szCs w:val="24"/>
        </w:rPr>
        <w:t>introduce</w:t>
      </w:r>
      <w:r w:rsidR="00D41979" w:rsidRPr="00A7624F">
        <w:rPr>
          <w:rFonts w:ascii="Times New Roman" w:hAnsi="Times New Roman"/>
          <w:sz w:val="24"/>
          <w:szCs w:val="24"/>
        </w:rPr>
        <w:t xml:space="preserve"> the </w:t>
      </w:r>
      <w:r w:rsidRPr="00A7624F">
        <w:rPr>
          <w:rFonts w:ascii="Times New Roman" w:hAnsi="Times New Roman"/>
          <w:sz w:val="24"/>
          <w:szCs w:val="24"/>
        </w:rPr>
        <w:t xml:space="preserve">CVC major </w:t>
      </w:r>
      <w:r w:rsidR="00D41979" w:rsidRPr="00A7624F">
        <w:rPr>
          <w:rFonts w:ascii="Times New Roman" w:hAnsi="Times New Roman"/>
          <w:sz w:val="24"/>
          <w:szCs w:val="24"/>
        </w:rPr>
        <w:t xml:space="preserve">status </w:t>
      </w:r>
      <w:r w:rsidR="00A90020" w:rsidRPr="00A7624F">
        <w:rPr>
          <w:rFonts w:ascii="Times New Roman" w:hAnsi="Times New Roman"/>
          <w:sz w:val="24"/>
          <w:szCs w:val="24"/>
        </w:rPr>
        <w:t>indicator</w:t>
      </w:r>
      <w:r w:rsidRPr="00A7624F">
        <w:rPr>
          <w:rFonts w:ascii="Times New Roman" w:hAnsi="Times New Roman"/>
          <w:sz w:val="24"/>
          <w:szCs w:val="24"/>
        </w:rPr>
        <w:t xml:space="preserve"> (Column 2)</w:t>
      </w:r>
      <w:r w:rsidR="00A90020" w:rsidRPr="00A7624F">
        <w:rPr>
          <w:rFonts w:ascii="Times New Roman" w:hAnsi="Times New Roman"/>
          <w:sz w:val="24"/>
          <w:szCs w:val="24"/>
        </w:rPr>
        <w:t>, and finally include the interaction item between R&amp;D intensity and CVC major status indicator (Column 3)</w:t>
      </w:r>
      <w:r w:rsidR="00D41979" w:rsidRPr="00A7624F">
        <w:rPr>
          <w:rFonts w:ascii="Times New Roman" w:hAnsi="Times New Roman"/>
          <w:sz w:val="24"/>
          <w:szCs w:val="24"/>
        </w:rPr>
        <w:t xml:space="preserve">.  </w:t>
      </w:r>
      <w:r w:rsidR="00DA0E8A" w:rsidRPr="00A7624F">
        <w:rPr>
          <w:rFonts w:ascii="Times New Roman" w:hAnsi="Times New Roman"/>
          <w:sz w:val="24"/>
          <w:szCs w:val="24"/>
        </w:rPr>
        <w:t>The direct impacts of R&amp;D intensity are negative (b=-0.0049) and significant at</w:t>
      </w:r>
      <w:r w:rsidR="00090AFA" w:rsidRPr="00A7624F">
        <w:rPr>
          <w:rFonts w:ascii="Times New Roman" w:hAnsi="Times New Roman"/>
          <w:sz w:val="24"/>
          <w:szCs w:val="24"/>
        </w:rPr>
        <w:t xml:space="preserve"> </w:t>
      </w:r>
      <w:r w:rsidR="00DA0E8A" w:rsidRPr="00A7624F">
        <w:rPr>
          <w:rFonts w:ascii="Times New Roman" w:hAnsi="Times New Roman"/>
          <w:sz w:val="24"/>
          <w:szCs w:val="24"/>
        </w:rPr>
        <w:t xml:space="preserve">p&lt; 0.1 (Column 1) and p&lt;0.05 (Column 2), which shows that in general the market reacts negatively when a CVC investor acquires its portfolio company </w:t>
      </w:r>
      <w:proofErr w:type="gramStart"/>
      <w:r w:rsidR="00DA0E8A" w:rsidRPr="00A7624F">
        <w:rPr>
          <w:rFonts w:ascii="Times New Roman" w:hAnsi="Times New Roman"/>
          <w:sz w:val="24"/>
          <w:szCs w:val="24"/>
        </w:rPr>
        <w:t>and also</w:t>
      </w:r>
      <w:proofErr w:type="gramEnd"/>
      <w:r w:rsidR="00DA0E8A" w:rsidRPr="00A7624F">
        <w:rPr>
          <w:rFonts w:ascii="Times New Roman" w:hAnsi="Times New Roman"/>
          <w:sz w:val="24"/>
          <w:szCs w:val="24"/>
        </w:rPr>
        <w:t xml:space="preserve"> conducts </w:t>
      </w:r>
      <w:r w:rsidR="00090AFA" w:rsidRPr="00A7624F">
        <w:rPr>
          <w:rFonts w:ascii="Times New Roman" w:hAnsi="Times New Roman"/>
          <w:sz w:val="24"/>
          <w:szCs w:val="24"/>
        </w:rPr>
        <w:t xml:space="preserve">a </w:t>
      </w:r>
      <w:r w:rsidR="00DA0E8A" w:rsidRPr="00A7624F">
        <w:rPr>
          <w:rFonts w:ascii="Times New Roman" w:hAnsi="Times New Roman"/>
          <w:sz w:val="24"/>
          <w:szCs w:val="24"/>
        </w:rPr>
        <w:t>high level of in-house R&amp;D activity.</w:t>
      </w:r>
      <w:r w:rsidR="00EF1CF7" w:rsidRPr="00A7624F">
        <w:rPr>
          <w:rFonts w:ascii="Times New Roman" w:hAnsi="Times New Roman"/>
          <w:sz w:val="24"/>
          <w:szCs w:val="24"/>
        </w:rPr>
        <w:t xml:space="preserve">  Column 3 in Table 6</w:t>
      </w:r>
      <w:r w:rsidR="00D41979" w:rsidRPr="00A7624F">
        <w:rPr>
          <w:rFonts w:ascii="Times New Roman" w:hAnsi="Times New Roman"/>
          <w:sz w:val="24"/>
          <w:szCs w:val="24"/>
        </w:rPr>
        <w:t xml:space="preserve"> presents the regression results examining the moderation effects of CVC investor acquirer’s </w:t>
      </w:r>
      <w:r w:rsidR="00EF1CF7" w:rsidRPr="00A7624F">
        <w:rPr>
          <w:rFonts w:ascii="Times New Roman" w:hAnsi="Times New Roman"/>
          <w:sz w:val="24"/>
          <w:szCs w:val="24"/>
        </w:rPr>
        <w:t>major investor status</w:t>
      </w:r>
      <w:r w:rsidR="00D41979" w:rsidRPr="00A7624F">
        <w:rPr>
          <w:rFonts w:ascii="Times New Roman" w:hAnsi="Times New Roman"/>
          <w:sz w:val="24"/>
          <w:szCs w:val="24"/>
        </w:rPr>
        <w:t xml:space="preserve">.  The coefficient of the interaction item between </w:t>
      </w:r>
      <w:r w:rsidR="00EF1CF7" w:rsidRPr="00A7624F">
        <w:rPr>
          <w:rFonts w:ascii="Times New Roman" w:hAnsi="Times New Roman"/>
          <w:sz w:val="24"/>
          <w:szCs w:val="24"/>
        </w:rPr>
        <w:t xml:space="preserve">major </w:t>
      </w:r>
      <w:r w:rsidR="00D41979" w:rsidRPr="00A7624F">
        <w:rPr>
          <w:rFonts w:ascii="Times New Roman" w:hAnsi="Times New Roman"/>
          <w:sz w:val="24"/>
          <w:szCs w:val="24"/>
        </w:rPr>
        <w:t>investor status and acquirer’</w:t>
      </w:r>
      <w:r w:rsidR="00EF1CF7" w:rsidRPr="00A7624F">
        <w:rPr>
          <w:rFonts w:ascii="Times New Roman" w:hAnsi="Times New Roman"/>
          <w:sz w:val="24"/>
          <w:szCs w:val="24"/>
        </w:rPr>
        <w:t xml:space="preserve">s R&amp;D intensity is </w:t>
      </w:r>
      <w:r w:rsidR="006C28E3" w:rsidRPr="00A7624F">
        <w:rPr>
          <w:rFonts w:ascii="Times New Roman" w:hAnsi="Times New Roman"/>
          <w:sz w:val="24"/>
          <w:szCs w:val="24"/>
        </w:rPr>
        <w:t>negative</w:t>
      </w:r>
      <w:r w:rsidR="00EF1CF7" w:rsidRPr="00A7624F">
        <w:rPr>
          <w:rFonts w:ascii="Times New Roman" w:hAnsi="Times New Roman"/>
          <w:sz w:val="24"/>
          <w:szCs w:val="24"/>
        </w:rPr>
        <w:t xml:space="preserve"> (b=-0.0167, p&lt;0.01</w:t>
      </w:r>
      <w:r w:rsidR="00D41979" w:rsidRPr="00A7624F">
        <w:rPr>
          <w:rFonts w:ascii="Times New Roman" w:hAnsi="Times New Roman"/>
          <w:sz w:val="24"/>
          <w:szCs w:val="24"/>
        </w:rPr>
        <w:t xml:space="preserve">), a finding in support of the </w:t>
      </w:r>
      <w:r w:rsidR="00EF1CF7" w:rsidRPr="00A7624F">
        <w:rPr>
          <w:rFonts w:ascii="Times New Roman" w:hAnsi="Times New Roman"/>
          <w:sz w:val="24"/>
          <w:szCs w:val="24"/>
        </w:rPr>
        <w:t xml:space="preserve">negative </w:t>
      </w:r>
      <w:r w:rsidR="00D41979" w:rsidRPr="00A7624F">
        <w:rPr>
          <w:rFonts w:ascii="Times New Roman" w:hAnsi="Times New Roman"/>
          <w:sz w:val="24"/>
          <w:szCs w:val="24"/>
        </w:rPr>
        <w:lastRenderedPageBreak/>
        <w:t xml:space="preserve">moderation effects.  Also, we create an interactive plot to further virtualize the moderation effect.  Figure 2 shows that the relationship between </w:t>
      </w:r>
      <w:r w:rsidR="00B107D7" w:rsidRPr="00A7624F">
        <w:rPr>
          <w:rFonts w:ascii="Times New Roman" w:hAnsi="Times New Roman"/>
          <w:sz w:val="24"/>
          <w:szCs w:val="24"/>
        </w:rPr>
        <w:t>CVC investor acquirer’s in-house R&amp;D</w:t>
      </w:r>
      <w:r w:rsidR="00D41979" w:rsidRPr="00A7624F">
        <w:rPr>
          <w:rFonts w:ascii="Times New Roman" w:hAnsi="Times New Roman"/>
          <w:sz w:val="24"/>
          <w:szCs w:val="24"/>
        </w:rPr>
        <w:t xml:space="preserve"> and CARs </w:t>
      </w:r>
      <w:r w:rsidR="00B107D7" w:rsidRPr="00A7624F">
        <w:rPr>
          <w:rFonts w:ascii="Times New Roman" w:hAnsi="Times New Roman"/>
          <w:sz w:val="24"/>
          <w:szCs w:val="24"/>
        </w:rPr>
        <w:t xml:space="preserve">is negative when CVC investor is a major investor in the target portfolio company, and the relationship </w:t>
      </w:r>
      <w:r w:rsidR="00D41979" w:rsidRPr="00A7624F">
        <w:rPr>
          <w:rFonts w:ascii="Times New Roman" w:hAnsi="Times New Roman"/>
          <w:sz w:val="24"/>
          <w:szCs w:val="24"/>
        </w:rPr>
        <w:t xml:space="preserve">becomes </w:t>
      </w:r>
      <w:r w:rsidR="00B107D7" w:rsidRPr="00A7624F">
        <w:rPr>
          <w:rFonts w:ascii="Times New Roman" w:hAnsi="Times New Roman"/>
          <w:sz w:val="24"/>
          <w:szCs w:val="24"/>
        </w:rPr>
        <w:t>positive</w:t>
      </w:r>
      <w:r w:rsidR="00D41979" w:rsidRPr="00A7624F">
        <w:rPr>
          <w:rFonts w:ascii="Times New Roman" w:hAnsi="Times New Roman"/>
          <w:sz w:val="24"/>
          <w:szCs w:val="24"/>
        </w:rPr>
        <w:t xml:space="preserve"> when </w:t>
      </w:r>
      <w:r w:rsidR="00B107D7" w:rsidRPr="00A7624F">
        <w:rPr>
          <w:rFonts w:ascii="Times New Roman" w:hAnsi="Times New Roman"/>
          <w:sz w:val="24"/>
          <w:szCs w:val="24"/>
        </w:rPr>
        <w:t>CVC investor is not a major investor.  This finding is consistent with our Hypo</w:t>
      </w:r>
      <w:r w:rsidR="006C28E3" w:rsidRPr="00A7624F">
        <w:rPr>
          <w:rFonts w:ascii="Times New Roman" w:hAnsi="Times New Roman"/>
          <w:sz w:val="24"/>
          <w:szCs w:val="24"/>
        </w:rPr>
        <w:t>thesis 2</w:t>
      </w:r>
      <w:r w:rsidR="00B107D7" w:rsidRPr="00A7624F">
        <w:rPr>
          <w:rFonts w:ascii="Times New Roman" w:hAnsi="Times New Roman"/>
          <w:sz w:val="24"/>
          <w:szCs w:val="24"/>
        </w:rPr>
        <w:t xml:space="preserve">.  </w:t>
      </w:r>
    </w:p>
    <w:p w:rsidR="00B107D7" w:rsidRPr="00A7624F" w:rsidRDefault="00154F28" w:rsidP="00B107D7">
      <w:pPr>
        <w:pStyle w:val="NoSpacing"/>
        <w:spacing w:line="480" w:lineRule="auto"/>
        <w:ind w:firstLine="720"/>
        <w:rPr>
          <w:rFonts w:ascii="Times New Roman" w:hAnsi="Times New Roman"/>
          <w:sz w:val="24"/>
          <w:szCs w:val="24"/>
        </w:rPr>
      </w:pPr>
      <w:r w:rsidRPr="00A7624F">
        <w:rPr>
          <w:rFonts w:ascii="Times New Roman" w:hAnsi="Times New Roman"/>
          <w:sz w:val="24"/>
          <w:szCs w:val="24"/>
        </w:rPr>
        <w:t>Models 4</w:t>
      </w:r>
      <w:r w:rsidR="00AF1452" w:rsidRPr="00A7624F">
        <w:rPr>
          <w:rFonts w:ascii="Times New Roman" w:hAnsi="Times New Roman"/>
          <w:sz w:val="24"/>
          <w:szCs w:val="24"/>
        </w:rPr>
        <w:t>-</w:t>
      </w:r>
      <w:r w:rsidRPr="00A7624F">
        <w:rPr>
          <w:rFonts w:ascii="Times New Roman" w:hAnsi="Times New Roman"/>
          <w:sz w:val="24"/>
          <w:szCs w:val="24"/>
        </w:rPr>
        <w:t>6</w:t>
      </w:r>
      <w:r w:rsidR="00B107D7" w:rsidRPr="00A7624F">
        <w:rPr>
          <w:rFonts w:ascii="Times New Roman" w:hAnsi="Times New Roman"/>
          <w:sz w:val="24"/>
          <w:szCs w:val="24"/>
        </w:rPr>
        <w:t xml:space="preserve"> in Table 6 reports the panel regression results regarding market reactions to announcements for acquisitions by </w:t>
      </w:r>
      <w:r w:rsidRPr="00A7624F">
        <w:rPr>
          <w:rFonts w:ascii="Times New Roman" w:hAnsi="Times New Roman"/>
          <w:sz w:val="24"/>
          <w:szCs w:val="24"/>
        </w:rPr>
        <w:t>third-party acquirers</w:t>
      </w:r>
      <w:r w:rsidR="00AF1452" w:rsidRPr="00A7624F">
        <w:rPr>
          <w:rFonts w:ascii="Times New Roman" w:hAnsi="Times New Roman"/>
          <w:sz w:val="24"/>
          <w:szCs w:val="24"/>
        </w:rPr>
        <w:t xml:space="preserve">.  Using these models, we specifically </w:t>
      </w:r>
      <w:r w:rsidR="00B107D7" w:rsidRPr="00A7624F">
        <w:rPr>
          <w:rFonts w:ascii="Times New Roman" w:hAnsi="Times New Roman"/>
          <w:sz w:val="24"/>
          <w:szCs w:val="24"/>
        </w:rPr>
        <w:t xml:space="preserve">examine a moderator </w:t>
      </w:r>
      <w:r w:rsidR="00AF1452" w:rsidRPr="00A7624F">
        <w:rPr>
          <w:rFonts w:ascii="Times New Roman" w:hAnsi="Times New Roman"/>
          <w:sz w:val="24"/>
          <w:szCs w:val="24"/>
        </w:rPr>
        <w:t>impact of whether there is a major CVC investor</w:t>
      </w:r>
      <w:r w:rsidR="00B107D7" w:rsidRPr="00A7624F">
        <w:rPr>
          <w:rFonts w:ascii="Times New Roman" w:hAnsi="Times New Roman"/>
          <w:sz w:val="24"/>
          <w:szCs w:val="24"/>
        </w:rPr>
        <w:t xml:space="preserve"> on the relationship between </w:t>
      </w:r>
      <w:r w:rsidR="00AF1452" w:rsidRPr="00A7624F">
        <w:rPr>
          <w:rFonts w:ascii="Times New Roman" w:hAnsi="Times New Roman"/>
          <w:sz w:val="24"/>
          <w:szCs w:val="24"/>
        </w:rPr>
        <w:t xml:space="preserve">third-party </w:t>
      </w:r>
      <w:r w:rsidR="00730E0B" w:rsidRPr="00A7624F">
        <w:rPr>
          <w:rFonts w:ascii="Times New Roman" w:hAnsi="Times New Roman"/>
          <w:sz w:val="24"/>
          <w:szCs w:val="24"/>
        </w:rPr>
        <w:t>acquirer’s in</w:t>
      </w:r>
      <w:r w:rsidR="006C28E3" w:rsidRPr="00A7624F">
        <w:rPr>
          <w:rFonts w:ascii="Times New Roman" w:hAnsi="Times New Roman"/>
          <w:sz w:val="24"/>
          <w:szCs w:val="24"/>
        </w:rPr>
        <w:t>-</w:t>
      </w:r>
      <w:r w:rsidR="00B107D7" w:rsidRPr="00A7624F">
        <w:rPr>
          <w:rFonts w:ascii="Times New Roman" w:hAnsi="Times New Roman"/>
          <w:sz w:val="24"/>
          <w:szCs w:val="24"/>
        </w:rPr>
        <w:t>house R&amp;D and market reactions to the announcemen</w:t>
      </w:r>
      <w:r w:rsidR="00AF1452" w:rsidRPr="00A7624F">
        <w:rPr>
          <w:rFonts w:ascii="Times New Roman" w:hAnsi="Times New Roman"/>
          <w:sz w:val="24"/>
          <w:szCs w:val="24"/>
        </w:rPr>
        <w:t>t of acquisition as Hypothesis 3</w:t>
      </w:r>
      <w:r w:rsidR="00B107D7" w:rsidRPr="00A7624F">
        <w:rPr>
          <w:rFonts w:ascii="Times New Roman" w:hAnsi="Times New Roman"/>
          <w:sz w:val="24"/>
          <w:szCs w:val="24"/>
        </w:rPr>
        <w:t xml:space="preserve"> proposes.  All the regression models are controlled for year fixed effects. </w:t>
      </w:r>
      <w:r w:rsidR="00AF1452" w:rsidRPr="00A7624F">
        <w:rPr>
          <w:rFonts w:ascii="Times New Roman" w:hAnsi="Times New Roman"/>
          <w:sz w:val="24"/>
          <w:szCs w:val="24"/>
        </w:rPr>
        <w:t xml:space="preserve">We follow the same steps as testing Hypothesis 2.  That is, </w:t>
      </w:r>
      <w:r w:rsidR="00B107D7" w:rsidRPr="00A7624F">
        <w:rPr>
          <w:rFonts w:ascii="Times New Roman" w:hAnsi="Times New Roman"/>
          <w:sz w:val="24"/>
          <w:szCs w:val="24"/>
        </w:rPr>
        <w:t>we first add R&amp;D intensity with all the controls in the regression model (</w:t>
      </w:r>
      <w:r w:rsidR="00AF1452" w:rsidRPr="00A7624F">
        <w:rPr>
          <w:rFonts w:ascii="Times New Roman" w:hAnsi="Times New Roman"/>
          <w:sz w:val="24"/>
          <w:szCs w:val="24"/>
        </w:rPr>
        <w:t>Column 4</w:t>
      </w:r>
      <w:r w:rsidR="00B107D7" w:rsidRPr="00A7624F">
        <w:rPr>
          <w:rFonts w:ascii="Times New Roman" w:hAnsi="Times New Roman"/>
          <w:sz w:val="24"/>
          <w:szCs w:val="24"/>
        </w:rPr>
        <w:t>), then introduce the CVC major status indicator (</w:t>
      </w:r>
      <w:r w:rsidR="00AF1452" w:rsidRPr="00A7624F">
        <w:rPr>
          <w:rFonts w:ascii="Times New Roman" w:hAnsi="Times New Roman"/>
          <w:sz w:val="24"/>
          <w:szCs w:val="24"/>
        </w:rPr>
        <w:t>Column 5</w:t>
      </w:r>
      <w:r w:rsidR="00B107D7" w:rsidRPr="00A7624F">
        <w:rPr>
          <w:rFonts w:ascii="Times New Roman" w:hAnsi="Times New Roman"/>
          <w:sz w:val="24"/>
          <w:szCs w:val="24"/>
        </w:rPr>
        <w:t xml:space="preserve">), and finally include the interaction item between R&amp;D intensity and CVC </w:t>
      </w:r>
      <w:r w:rsidR="00AF1452" w:rsidRPr="00A7624F">
        <w:rPr>
          <w:rFonts w:ascii="Times New Roman" w:hAnsi="Times New Roman"/>
          <w:sz w:val="24"/>
          <w:szCs w:val="24"/>
        </w:rPr>
        <w:t>major status indicator (Column 6</w:t>
      </w:r>
      <w:r w:rsidR="00B107D7" w:rsidRPr="00A7624F">
        <w:rPr>
          <w:rFonts w:ascii="Times New Roman" w:hAnsi="Times New Roman"/>
          <w:sz w:val="24"/>
          <w:szCs w:val="24"/>
        </w:rPr>
        <w:t xml:space="preserve">).  </w:t>
      </w:r>
      <w:r w:rsidR="006C28E3" w:rsidRPr="00A7624F">
        <w:rPr>
          <w:rFonts w:ascii="Times New Roman" w:hAnsi="Times New Roman"/>
          <w:sz w:val="24"/>
          <w:szCs w:val="24"/>
        </w:rPr>
        <w:t>Different from the direct impacts of CVC investor acquirer’s RD intensity, that of third-party acquirers is positive (b=0.0070</w:t>
      </w:r>
      <w:r w:rsidR="00B107D7" w:rsidRPr="00A7624F">
        <w:rPr>
          <w:rFonts w:ascii="Times New Roman" w:hAnsi="Times New Roman"/>
          <w:sz w:val="24"/>
          <w:szCs w:val="24"/>
        </w:rPr>
        <w:t xml:space="preserve">) and significant at </w:t>
      </w:r>
      <w:r w:rsidR="006C28E3" w:rsidRPr="00A7624F">
        <w:rPr>
          <w:rFonts w:ascii="Times New Roman" w:hAnsi="Times New Roman"/>
          <w:sz w:val="24"/>
          <w:szCs w:val="24"/>
        </w:rPr>
        <w:t>p&lt; 0.05 (Columns 4 and 5</w:t>
      </w:r>
      <w:r w:rsidR="00B107D7" w:rsidRPr="00A7624F">
        <w:rPr>
          <w:rFonts w:ascii="Times New Roman" w:hAnsi="Times New Roman"/>
          <w:sz w:val="24"/>
          <w:szCs w:val="24"/>
        </w:rPr>
        <w:t>)</w:t>
      </w:r>
      <w:r w:rsidR="006C28E3" w:rsidRPr="00A7624F">
        <w:rPr>
          <w:rFonts w:ascii="Times New Roman" w:hAnsi="Times New Roman"/>
          <w:sz w:val="24"/>
          <w:szCs w:val="24"/>
        </w:rPr>
        <w:t>.  Column 6</w:t>
      </w:r>
      <w:r w:rsidR="00B107D7" w:rsidRPr="00A7624F">
        <w:rPr>
          <w:rFonts w:ascii="Times New Roman" w:hAnsi="Times New Roman"/>
          <w:sz w:val="24"/>
          <w:szCs w:val="24"/>
        </w:rPr>
        <w:t xml:space="preserve"> in Table 6 presents the regression results examining the moderation effects of </w:t>
      </w:r>
      <w:r w:rsidR="006C28E3" w:rsidRPr="00A7624F">
        <w:rPr>
          <w:rFonts w:ascii="Times New Roman" w:hAnsi="Times New Roman"/>
          <w:sz w:val="24"/>
          <w:szCs w:val="24"/>
        </w:rPr>
        <w:t xml:space="preserve">whether there is one CVC major investor </w:t>
      </w:r>
      <w:proofErr w:type="gramStart"/>
      <w:r w:rsidR="006C28E3" w:rsidRPr="00A7624F">
        <w:rPr>
          <w:rFonts w:ascii="Times New Roman" w:hAnsi="Times New Roman"/>
          <w:i/>
          <w:sz w:val="24"/>
          <w:szCs w:val="24"/>
        </w:rPr>
        <w:t>pre</w:t>
      </w:r>
      <w:r w:rsidR="006C28E3" w:rsidRPr="00A7624F">
        <w:rPr>
          <w:rFonts w:ascii="Times New Roman" w:hAnsi="Times New Roman"/>
          <w:sz w:val="24"/>
          <w:szCs w:val="24"/>
        </w:rPr>
        <w:t xml:space="preserve"> acquisition</w:t>
      </w:r>
      <w:proofErr w:type="gramEnd"/>
      <w:r w:rsidR="00B107D7" w:rsidRPr="00A7624F">
        <w:rPr>
          <w:rFonts w:ascii="Times New Roman" w:hAnsi="Times New Roman"/>
          <w:sz w:val="24"/>
          <w:szCs w:val="24"/>
        </w:rPr>
        <w:t xml:space="preserve">.  The coefficient of the interaction item between </w:t>
      </w:r>
      <w:r w:rsidR="006C28E3" w:rsidRPr="00A7624F">
        <w:rPr>
          <w:rFonts w:ascii="Times New Roman" w:hAnsi="Times New Roman"/>
          <w:sz w:val="24"/>
          <w:szCs w:val="24"/>
        </w:rPr>
        <w:t xml:space="preserve">CVC </w:t>
      </w:r>
      <w:r w:rsidR="00B107D7" w:rsidRPr="00A7624F">
        <w:rPr>
          <w:rFonts w:ascii="Times New Roman" w:hAnsi="Times New Roman"/>
          <w:sz w:val="24"/>
          <w:szCs w:val="24"/>
        </w:rPr>
        <w:t>major investor status and</w:t>
      </w:r>
      <w:r w:rsidR="006C28E3" w:rsidRPr="00A7624F">
        <w:rPr>
          <w:rFonts w:ascii="Times New Roman" w:hAnsi="Times New Roman"/>
          <w:sz w:val="24"/>
          <w:szCs w:val="24"/>
        </w:rPr>
        <w:t xml:space="preserve"> third-party </w:t>
      </w:r>
      <w:r w:rsidR="00B107D7" w:rsidRPr="00A7624F">
        <w:rPr>
          <w:rFonts w:ascii="Times New Roman" w:hAnsi="Times New Roman"/>
          <w:sz w:val="24"/>
          <w:szCs w:val="24"/>
        </w:rPr>
        <w:t xml:space="preserve">acquirer’s R&amp;D </w:t>
      </w:r>
      <w:r w:rsidR="006C28E3" w:rsidRPr="00A7624F">
        <w:rPr>
          <w:rFonts w:ascii="Times New Roman" w:hAnsi="Times New Roman"/>
          <w:sz w:val="24"/>
          <w:szCs w:val="24"/>
        </w:rPr>
        <w:t>intensity is negative</w:t>
      </w:r>
      <w:r w:rsidR="00B107D7" w:rsidRPr="00A7624F">
        <w:rPr>
          <w:rFonts w:ascii="Times New Roman" w:hAnsi="Times New Roman"/>
          <w:sz w:val="24"/>
          <w:szCs w:val="24"/>
        </w:rPr>
        <w:t xml:space="preserve"> (b=-0</w:t>
      </w:r>
      <w:r w:rsidR="006C28E3" w:rsidRPr="00A7624F">
        <w:rPr>
          <w:rFonts w:ascii="Times New Roman" w:hAnsi="Times New Roman"/>
          <w:sz w:val="24"/>
          <w:szCs w:val="24"/>
        </w:rPr>
        <w:t>.0109</w:t>
      </w:r>
      <w:r w:rsidR="00B107D7" w:rsidRPr="00A7624F">
        <w:rPr>
          <w:rFonts w:ascii="Times New Roman" w:hAnsi="Times New Roman"/>
          <w:sz w:val="24"/>
          <w:szCs w:val="24"/>
        </w:rPr>
        <w:t>, p&lt;0.01</w:t>
      </w:r>
      <w:r w:rsidR="006C28E3" w:rsidRPr="00A7624F">
        <w:rPr>
          <w:rFonts w:ascii="Times New Roman" w:hAnsi="Times New Roman"/>
          <w:sz w:val="24"/>
          <w:szCs w:val="24"/>
        </w:rPr>
        <w:t>).  Same as before,</w:t>
      </w:r>
      <w:r w:rsidR="00B107D7" w:rsidRPr="00A7624F">
        <w:rPr>
          <w:rFonts w:ascii="Times New Roman" w:hAnsi="Times New Roman"/>
          <w:sz w:val="24"/>
          <w:szCs w:val="24"/>
        </w:rPr>
        <w:t xml:space="preserve"> we create an interactive plot to further virtualize </w:t>
      </w:r>
      <w:r w:rsidR="006C28E3" w:rsidRPr="00A7624F">
        <w:rPr>
          <w:rFonts w:ascii="Times New Roman" w:hAnsi="Times New Roman"/>
          <w:sz w:val="24"/>
          <w:szCs w:val="24"/>
        </w:rPr>
        <w:t>the moderation effect.  Figure 3</w:t>
      </w:r>
      <w:r w:rsidR="00B107D7" w:rsidRPr="00A7624F">
        <w:rPr>
          <w:rFonts w:ascii="Times New Roman" w:hAnsi="Times New Roman"/>
          <w:sz w:val="24"/>
          <w:szCs w:val="24"/>
        </w:rPr>
        <w:t xml:space="preserve"> shows that the relationship between </w:t>
      </w:r>
      <w:r w:rsidR="0055164A" w:rsidRPr="00A7624F">
        <w:rPr>
          <w:rFonts w:ascii="Times New Roman" w:hAnsi="Times New Roman"/>
          <w:sz w:val="24"/>
          <w:szCs w:val="24"/>
        </w:rPr>
        <w:t xml:space="preserve">third party </w:t>
      </w:r>
      <w:r w:rsidR="00B107D7" w:rsidRPr="00A7624F">
        <w:rPr>
          <w:rFonts w:ascii="Times New Roman" w:hAnsi="Times New Roman"/>
          <w:sz w:val="24"/>
          <w:szCs w:val="24"/>
        </w:rPr>
        <w:t xml:space="preserve">acquirer’s in-house R&amp;D and CARs is </w:t>
      </w:r>
      <w:r w:rsidR="0055164A" w:rsidRPr="00A7624F">
        <w:rPr>
          <w:rFonts w:ascii="Times New Roman" w:hAnsi="Times New Roman"/>
          <w:sz w:val="24"/>
          <w:szCs w:val="24"/>
        </w:rPr>
        <w:t>positive</w:t>
      </w:r>
      <w:r w:rsidR="00B107D7" w:rsidRPr="00A7624F">
        <w:rPr>
          <w:rFonts w:ascii="Times New Roman" w:hAnsi="Times New Roman"/>
          <w:sz w:val="24"/>
          <w:szCs w:val="24"/>
        </w:rPr>
        <w:t xml:space="preserve"> when </w:t>
      </w:r>
      <w:r w:rsidR="0055164A" w:rsidRPr="00A7624F">
        <w:rPr>
          <w:rFonts w:ascii="Times New Roman" w:hAnsi="Times New Roman"/>
          <w:sz w:val="24"/>
          <w:szCs w:val="24"/>
        </w:rPr>
        <w:t xml:space="preserve">there is no major </w:t>
      </w:r>
      <w:r w:rsidR="00B107D7" w:rsidRPr="00A7624F">
        <w:rPr>
          <w:rFonts w:ascii="Times New Roman" w:hAnsi="Times New Roman"/>
          <w:sz w:val="24"/>
          <w:szCs w:val="24"/>
        </w:rPr>
        <w:t xml:space="preserve">CVC investor in the target portfolio company, and the relationship becomes </w:t>
      </w:r>
      <w:r w:rsidR="0055164A" w:rsidRPr="00A7624F">
        <w:rPr>
          <w:rFonts w:ascii="Times New Roman" w:hAnsi="Times New Roman"/>
          <w:sz w:val="24"/>
          <w:szCs w:val="24"/>
        </w:rPr>
        <w:t xml:space="preserve">negative there is a </w:t>
      </w:r>
      <w:r w:rsidR="00B107D7" w:rsidRPr="00A7624F">
        <w:rPr>
          <w:rFonts w:ascii="Times New Roman" w:hAnsi="Times New Roman"/>
          <w:sz w:val="24"/>
          <w:szCs w:val="24"/>
        </w:rPr>
        <w:t>CVC investor.  This finding is consistent with our Hypo</w:t>
      </w:r>
      <w:r w:rsidR="006C28E3" w:rsidRPr="00A7624F">
        <w:rPr>
          <w:rFonts w:ascii="Times New Roman" w:hAnsi="Times New Roman"/>
          <w:sz w:val="24"/>
          <w:szCs w:val="24"/>
        </w:rPr>
        <w:t>thesis 3</w:t>
      </w:r>
      <w:r w:rsidR="00B107D7" w:rsidRPr="00A7624F">
        <w:rPr>
          <w:rFonts w:ascii="Times New Roman" w:hAnsi="Times New Roman"/>
          <w:sz w:val="24"/>
          <w:szCs w:val="24"/>
        </w:rPr>
        <w:t xml:space="preserve">.  </w:t>
      </w:r>
    </w:p>
    <w:p w:rsidR="00D56213" w:rsidRPr="00A7624F" w:rsidRDefault="00D56213" w:rsidP="00D56213">
      <w:pPr>
        <w:pStyle w:val="NoSpacing"/>
        <w:spacing w:line="480" w:lineRule="auto"/>
        <w:jc w:val="center"/>
        <w:rPr>
          <w:rFonts w:ascii="Times New Roman" w:hAnsi="Times New Roman"/>
          <w:i/>
          <w:sz w:val="24"/>
          <w:szCs w:val="24"/>
        </w:rPr>
      </w:pPr>
      <w:r w:rsidRPr="00A7624F">
        <w:rPr>
          <w:rFonts w:ascii="Times New Roman" w:hAnsi="Times New Roman"/>
          <w:i/>
          <w:sz w:val="24"/>
          <w:szCs w:val="24"/>
        </w:rPr>
        <w:lastRenderedPageBreak/>
        <w:t>Insert Table 6, Figures 2 &amp; 3 about here</w:t>
      </w:r>
    </w:p>
    <w:p w:rsidR="00B107D7" w:rsidRPr="00A7624F" w:rsidRDefault="00B107D7" w:rsidP="00B107D7">
      <w:pPr>
        <w:pStyle w:val="NoSpacing"/>
        <w:spacing w:line="480" w:lineRule="auto"/>
        <w:rPr>
          <w:rFonts w:ascii="Times New Roman" w:hAnsi="Times New Roman"/>
          <w:b/>
          <w:sz w:val="24"/>
          <w:szCs w:val="24"/>
        </w:rPr>
      </w:pPr>
      <w:r w:rsidRPr="00A7624F">
        <w:rPr>
          <w:rFonts w:ascii="Times New Roman" w:hAnsi="Times New Roman"/>
          <w:b/>
          <w:sz w:val="24"/>
          <w:szCs w:val="24"/>
        </w:rPr>
        <w:t>Robustness Check</w:t>
      </w:r>
    </w:p>
    <w:p w:rsidR="00D41979" w:rsidRPr="00A7624F" w:rsidRDefault="00F143ED" w:rsidP="00F143ED">
      <w:pPr>
        <w:pStyle w:val="NoSpacing"/>
        <w:spacing w:line="480" w:lineRule="auto"/>
        <w:rPr>
          <w:rFonts w:ascii="Times New Roman" w:hAnsi="Times New Roman"/>
          <w:sz w:val="24"/>
          <w:szCs w:val="24"/>
        </w:rPr>
      </w:pPr>
      <w:r w:rsidRPr="00A7624F">
        <w:rPr>
          <w:rFonts w:ascii="Times New Roman" w:hAnsi="Times New Roman"/>
          <w:sz w:val="24"/>
          <w:szCs w:val="24"/>
        </w:rPr>
        <w:t>As robustness check, we create another variable</w:t>
      </w:r>
      <w:r w:rsidR="00021477" w:rsidRPr="00A7624F">
        <w:rPr>
          <w:rFonts w:ascii="Times New Roman" w:hAnsi="Times New Roman"/>
          <w:sz w:val="24"/>
          <w:szCs w:val="24"/>
        </w:rPr>
        <w:t xml:space="preserve"> </w:t>
      </w:r>
      <w:r w:rsidRPr="00A7624F">
        <w:rPr>
          <w:rFonts w:ascii="Times New Roman" w:hAnsi="Times New Roman"/>
          <w:sz w:val="24"/>
          <w:szCs w:val="24"/>
        </w:rPr>
        <w:t xml:space="preserve">to capture when the </w:t>
      </w:r>
      <w:r w:rsidR="00D65E9E" w:rsidRPr="00A7624F">
        <w:rPr>
          <w:rFonts w:ascii="Times New Roman" w:hAnsi="Times New Roman"/>
          <w:sz w:val="24"/>
          <w:szCs w:val="24"/>
        </w:rPr>
        <w:t>target</w:t>
      </w:r>
      <w:r w:rsidRPr="00A7624F">
        <w:rPr>
          <w:rFonts w:ascii="Times New Roman" w:hAnsi="Times New Roman"/>
          <w:sz w:val="24"/>
          <w:szCs w:val="24"/>
        </w:rPr>
        <w:t xml:space="preserve"> only has small CVC investors, an opposite situation</w:t>
      </w:r>
      <w:r w:rsidR="00D65E9E" w:rsidRPr="00A7624F">
        <w:rPr>
          <w:rFonts w:ascii="Times New Roman" w:hAnsi="Times New Roman"/>
          <w:sz w:val="24"/>
          <w:szCs w:val="24"/>
        </w:rPr>
        <w:t xml:space="preserve"> to</w:t>
      </w:r>
      <w:r w:rsidRPr="00A7624F">
        <w:rPr>
          <w:rFonts w:ascii="Times New Roman" w:hAnsi="Times New Roman"/>
          <w:sz w:val="24"/>
          <w:szCs w:val="24"/>
        </w:rPr>
        <w:t xml:space="preserve"> there is a major CVC investor.  The </w:t>
      </w:r>
      <w:r w:rsidR="00263475" w:rsidRPr="00A7624F">
        <w:rPr>
          <w:rFonts w:ascii="Times New Roman" w:hAnsi="Times New Roman"/>
          <w:sz w:val="24"/>
          <w:szCs w:val="24"/>
        </w:rPr>
        <w:t>indicator</w:t>
      </w:r>
      <w:r w:rsidRPr="00A7624F">
        <w:rPr>
          <w:rFonts w:ascii="Times New Roman" w:hAnsi="Times New Roman"/>
          <w:sz w:val="24"/>
          <w:szCs w:val="24"/>
        </w:rPr>
        <w:t xml:space="preserve"> variable equals to 1 if all the investors’ investment percentage to the total investment is less than 6.5% (a </w:t>
      </w:r>
      <w:r w:rsidR="00E1287E" w:rsidRPr="00A7624F">
        <w:rPr>
          <w:rFonts w:ascii="Times New Roman" w:hAnsi="Times New Roman"/>
          <w:sz w:val="24"/>
          <w:szCs w:val="24"/>
        </w:rPr>
        <w:t>25-percentile</w:t>
      </w:r>
      <w:r w:rsidRPr="00A7624F">
        <w:rPr>
          <w:rFonts w:ascii="Times New Roman" w:hAnsi="Times New Roman"/>
          <w:sz w:val="24"/>
          <w:szCs w:val="24"/>
        </w:rPr>
        <w:t xml:space="preserve"> cut-off line); otherwise, the value of zero will be assigned.  </w:t>
      </w:r>
      <w:r w:rsidR="00263475" w:rsidRPr="00A7624F">
        <w:rPr>
          <w:rFonts w:ascii="Times New Roman" w:hAnsi="Times New Roman"/>
          <w:sz w:val="24"/>
          <w:szCs w:val="24"/>
        </w:rPr>
        <w:t>We ran the similar</w:t>
      </w:r>
      <w:r w:rsidR="00021477" w:rsidRPr="00A7624F">
        <w:rPr>
          <w:rFonts w:ascii="Times New Roman" w:hAnsi="Times New Roman"/>
          <w:sz w:val="24"/>
          <w:szCs w:val="24"/>
        </w:rPr>
        <w:t xml:space="preserve"> aggressions models</w:t>
      </w:r>
      <w:r w:rsidR="00263475" w:rsidRPr="00A7624F">
        <w:rPr>
          <w:rFonts w:ascii="Times New Roman" w:hAnsi="Times New Roman"/>
          <w:sz w:val="24"/>
          <w:szCs w:val="24"/>
        </w:rPr>
        <w:t xml:space="preserve"> by replacing the variable of Major CVC investor with the new variable as well as its interaction with acquirer’s in-house R&amp;D using the split samples of CVC investor acquirers and third-part acquirers, respectively.  </w:t>
      </w:r>
      <w:r w:rsidR="00021477" w:rsidRPr="00A7624F">
        <w:rPr>
          <w:rFonts w:ascii="Times New Roman" w:hAnsi="Times New Roman"/>
          <w:sz w:val="24"/>
          <w:szCs w:val="24"/>
        </w:rPr>
        <w:t>Table 7 reports the panel regression result</w:t>
      </w:r>
      <w:r w:rsidR="00263475" w:rsidRPr="00A7624F">
        <w:rPr>
          <w:rFonts w:ascii="Times New Roman" w:hAnsi="Times New Roman"/>
          <w:sz w:val="24"/>
          <w:szCs w:val="24"/>
        </w:rPr>
        <w:t xml:space="preserve">s.  </w:t>
      </w:r>
      <w:r w:rsidR="00021477" w:rsidRPr="00A7624F">
        <w:rPr>
          <w:rFonts w:ascii="Times New Roman" w:hAnsi="Times New Roman"/>
          <w:sz w:val="24"/>
          <w:szCs w:val="24"/>
        </w:rPr>
        <w:t>The direct impact</w:t>
      </w:r>
      <w:r w:rsidR="00263475" w:rsidRPr="00A7624F">
        <w:rPr>
          <w:rFonts w:ascii="Times New Roman" w:hAnsi="Times New Roman"/>
          <w:sz w:val="24"/>
          <w:szCs w:val="24"/>
        </w:rPr>
        <w:t xml:space="preserve"> of acquirer’s R&amp;D intensity remain the same and significant; that is, the impact of CVC investor acquirer’s R&amp;D intensity is negative </w:t>
      </w:r>
      <w:r w:rsidR="00D56213" w:rsidRPr="00A7624F">
        <w:rPr>
          <w:rFonts w:ascii="Times New Roman" w:hAnsi="Times New Roman"/>
          <w:sz w:val="24"/>
          <w:szCs w:val="24"/>
        </w:rPr>
        <w:t xml:space="preserve">(b=-0.0049, p&lt;0.1) </w:t>
      </w:r>
      <w:r w:rsidR="00263475" w:rsidRPr="00A7624F">
        <w:rPr>
          <w:rFonts w:ascii="Times New Roman" w:hAnsi="Times New Roman"/>
          <w:sz w:val="24"/>
          <w:szCs w:val="24"/>
        </w:rPr>
        <w:t>while that of third-party acquirer is positive</w:t>
      </w:r>
      <w:r w:rsidR="00D56213" w:rsidRPr="00A7624F">
        <w:rPr>
          <w:rFonts w:ascii="Times New Roman" w:hAnsi="Times New Roman"/>
          <w:sz w:val="24"/>
          <w:szCs w:val="24"/>
        </w:rPr>
        <w:t xml:space="preserve"> (b=0.0070, p&lt;0.05)</w:t>
      </w:r>
      <w:r w:rsidR="00263475" w:rsidRPr="00A7624F">
        <w:rPr>
          <w:rFonts w:ascii="Times New Roman" w:hAnsi="Times New Roman"/>
          <w:sz w:val="24"/>
          <w:szCs w:val="24"/>
        </w:rPr>
        <w:t xml:space="preserve">.  </w:t>
      </w:r>
      <w:r w:rsidR="00D56213" w:rsidRPr="00A7624F">
        <w:rPr>
          <w:rFonts w:ascii="Times New Roman" w:hAnsi="Times New Roman"/>
          <w:sz w:val="24"/>
          <w:szCs w:val="24"/>
        </w:rPr>
        <w:t xml:space="preserve">The interaction items of all small CVC investors and acquirers’ in-house R&amp;D are significant at the levels of 0.05 (Column 3) and 0.1 (Column 6), respectively. </w:t>
      </w:r>
      <w:r w:rsidR="000D5C52" w:rsidRPr="00A7624F">
        <w:rPr>
          <w:rFonts w:ascii="Times New Roman" w:hAnsi="Times New Roman"/>
          <w:sz w:val="24"/>
          <w:szCs w:val="24"/>
        </w:rPr>
        <w:t>In addition, we create</w:t>
      </w:r>
      <w:r w:rsidR="00D56213" w:rsidRPr="00A7624F">
        <w:rPr>
          <w:rFonts w:ascii="Times New Roman" w:hAnsi="Times New Roman"/>
          <w:sz w:val="24"/>
          <w:szCs w:val="24"/>
        </w:rPr>
        <w:t xml:space="preserve"> interactive plots to further virtualize the moderation effect</w:t>
      </w:r>
      <w:r w:rsidR="000D5C52" w:rsidRPr="00A7624F">
        <w:rPr>
          <w:rFonts w:ascii="Times New Roman" w:hAnsi="Times New Roman"/>
          <w:sz w:val="24"/>
          <w:szCs w:val="24"/>
        </w:rPr>
        <w:t xml:space="preserve"> (see Figures 4 and 5).  </w:t>
      </w:r>
      <w:r w:rsidR="00E3177B" w:rsidRPr="00A7624F">
        <w:rPr>
          <w:rFonts w:ascii="Times New Roman" w:hAnsi="Times New Roman"/>
          <w:sz w:val="24"/>
          <w:szCs w:val="24"/>
        </w:rPr>
        <w:t xml:space="preserve">Both Figures 4 and 5 </w:t>
      </w:r>
      <w:proofErr w:type="gramStart"/>
      <w:r w:rsidR="00E3177B" w:rsidRPr="00A7624F">
        <w:rPr>
          <w:rFonts w:ascii="Times New Roman" w:hAnsi="Times New Roman"/>
          <w:sz w:val="24"/>
          <w:szCs w:val="24"/>
        </w:rPr>
        <w:t>show</w:t>
      </w:r>
      <w:proofErr w:type="gramEnd"/>
      <w:r w:rsidR="00256CF7" w:rsidRPr="00A7624F">
        <w:rPr>
          <w:rFonts w:ascii="Times New Roman" w:hAnsi="Times New Roman"/>
          <w:sz w:val="24"/>
          <w:szCs w:val="24"/>
        </w:rPr>
        <w:t xml:space="preserve"> that the relationship</w:t>
      </w:r>
      <w:r w:rsidR="00E3177B" w:rsidRPr="00A7624F">
        <w:rPr>
          <w:rFonts w:ascii="Times New Roman" w:hAnsi="Times New Roman"/>
          <w:sz w:val="24"/>
          <w:szCs w:val="24"/>
        </w:rPr>
        <w:t xml:space="preserve">s between the in-house R&amp;D activity of acquirers (CVC investor acquirer or third party acquirer) and market reactions to their acquisition announcements are positive when there are only small CVC investors.  Such relationships become less positive or even negative when not all CVC investors are small.  These findings provide additional support to Hypotheses 2 and 3. </w:t>
      </w:r>
    </w:p>
    <w:p w:rsidR="008F0A47" w:rsidRPr="00A7624F" w:rsidRDefault="008F0A47" w:rsidP="008F0A47">
      <w:pPr>
        <w:pStyle w:val="NoSpacing"/>
        <w:spacing w:line="480" w:lineRule="auto"/>
        <w:jc w:val="center"/>
        <w:rPr>
          <w:rFonts w:ascii="Times New Roman" w:hAnsi="Times New Roman"/>
          <w:i/>
          <w:sz w:val="24"/>
          <w:szCs w:val="24"/>
        </w:rPr>
      </w:pPr>
      <w:r w:rsidRPr="00A7624F">
        <w:rPr>
          <w:rFonts w:ascii="Times New Roman" w:hAnsi="Times New Roman"/>
          <w:i/>
          <w:sz w:val="24"/>
          <w:szCs w:val="24"/>
        </w:rPr>
        <w:t>Insert Table 7, Figures 4 &amp; 5 about here</w:t>
      </w:r>
    </w:p>
    <w:p w:rsidR="00D41979" w:rsidRPr="00A7624F" w:rsidRDefault="008F0A47" w:rsidP="00617B44">
      <w:pPr>
        <w:pStyle w:val="NoSpacing"/>
        <w:spacing w:line="480" w:lineRule="auto"/>
        <w:jc w:val="center"/>
        <w:rPr>
          <w:rFonts w:ascii="Times New Roman" w:hAnsi="Times New Roman"/>
          <w:b/>
          <w:sz w:val="24"/>
          <w:szCs w:val="24"/>
        </w:rPr>
      </w:pPr>
      <w:r w:rsidRPr="00A7624F">
        <w:rPr>
          <w:rFonts w:ascii="Times New Roman" w:hAnsi="Times New Roman"/>
          <w:b/>
          <w:sz w:val="24"/>
          <w:szCs w:val="24"/>
        </w:rPr>
        <w:t>DISCUSSION</w:t>
      </w:r>
    </w:p>
    <w:p w:rsidR="00C701F0" w:rsidRPr="00A7624F" w:rsidRDefault="00D41979" w:rsidP="00C701F0">
      <w:pPr>
        <w:pStyle w:val="NoSpacing"/>
        <w:spacing w:line="480" w:lineRule="auto"/>
        <w:ind w:firstLine="720"/>
        <w:rPr>
          <w:rFonts w:ascii="Times New Roman" w:hAnsi="Times New Roman"/>
          <w:sz w:val="24"/>
          <w:szCs w:val="24"/>
        </w:rPr>
      </w:pPr>
      <w:r w:rsidRPr="00A7624F">
        <w:rPr>
          <w:rFonts w:ascii="Times New Roman" w:hAnsi="Times New Roman"/>
          <w:sz w:val="24"/>
          <w:szCs w:val="24"/>
        </w:rPr>
        <w:t xml:space="preserve">Although the literature has theoretically pointed out both the financial and strategic implications associated with CVC acquisitions, empirical research on this topic remains limited.  </w:t>
      </w:r>
      <w:r w:rsidRPr="00A7624F">
        <w:rPr>
          <w:rFonts w:ascii="Times New Roman" w:hAnsi="Times New Roman"/>
          <w:sz w:val="24"/>
          <w:szCs w:val="24"/>
        </w:rPr>
        <w:lastRenderedPageBreak/>
        <w:t>Our study attempts to advance the understanding of this phenomenon by examining the market reactions to CVC acquisitions when different acquirers are involved</w:t>
      </w:r>
      <w:r w:rsidR="000D535F" w:rsidRPr="00A7624F">
        <w:rPr>
          <w:rFonts w:ascii="Times New Roman" w:hAnsi="Times New Roman"/>
          <w:sz w:val="24"/>
          <w:szCs w:val="24"/>
        </w:rPr>
        <w:t xml:space="preserve"> (CVC investor acquirer vs. third-party acquirer)</w:t>
      </w:r>
      <w:r w:rsidRPr="00A7624F">
        <w:rPr>
          <w:rFonts w:ascii="Times New Roman" w:hAnsi="Times New Roman"/>
          <w:sz w:val="24"/>
          <w:szCs w:val="24"/>
        </w:rPr>
        <w:t xml:space="preserve">.  </w:t>
      </w:r>
      <w:r w:rsidR="00C701F0" w:rsidRPr="00A7624F">
        <w:rPr>
          <w:rFonts w:ascii="Times New Roman" w:hAnsi="Times New Roman"/>
          <w:sz w:val="24"/>
          <w:szCs w:val="24"/>
        </w:rPr>
        <w:t xml:space="preserve">Our study provides new evidence regarding the impacts of toehold positions in the subsequent acquisitions.  Although Higgins and Rodriguez (2006) report pharmaceutical firms earn positive returns when acquiring former alliance partners, our finding, consistent with that of Benson and </w:t>
      </w:r>
      <w:proofErr w:type="spellStart"/>
      <w:r w:rsidR="00C701F0" w:rsidRPr="00A7624F">
        <w:rPr>
          <w:rFonts w:ascii="Times New Roman" w:hAnsi="Times New Roman"/>
          <w:sz w:val="24"/>
          <w:szCs w:val="24"/>
        </w:rPr>
        <w:t>Ziednis</w:t>
      </w:r>
      <w:proofErr w:type="spellEnd"/>
      <w:r w:rsidR="00C701F0" w:rsidRPr="00A7624F">
        <w:rPr>
          <w:rFonts w:ascii="Times New Roman" w:hAnsi="Times New Roman"/>
          <w:sz w:val="24"/>
          <w:szCs w:val="24"/>
        </w:rPr>
        <w:t xml:space="preserve"> (2010), suggests a negative impact associated with such toehold positions at least in the context of CVC activity.  </w:t>
      </w:r>
    </w:p>
    <w:p w:rsidR="0080589C" w:rsidRPr="00A7624F" w:rsidRDefault="00BF3FD4" w:rsidP="0080589C">
      <w:pPr>
        <w:pStyle w:val="NoSpacing"/>
        <w:spacing w:line="480" w:lineRule="auto"/>
        <w:ind w:firstLine="720"/>
        <w:rPr>
          <w:rFonts w:ascii="Times New Roman" w:hAnsi="Times New Roman"/>
          <w:sz w:val="24"/>
          <w:szCs w:val="24"/>
        </w:rPr>
      </w:pPr>
      <w:r w:rsidRPr="00A7624F">
        <w:rPr>
          <w:rFonts w:ascii="Times New Roman" w:hAnsi="Times New Roman"/>
          <w:sz w:val="24"/>
          <w:szCs w:val="24"/>
        </w:rPr>
        <w:t xml:space="preserve">Why the market doesn’t reward CVC investor’s toehold positions in their portfolio companies in the successive acquisition may be due to several reasons.  First, </w:t>
      </w:r>
      <w:r w:rsidR="00C558C1" w:rsidRPr="00A7624F">
        <w:rPr>
          <w:rFonts w:ascii="Times New Roman" w:hAnsi="Times New Roman"/>
          <w:sz w:val="24"/>
          <w:szCs w:val="24"/>
        </w:rPr>
        <w:t xml:space="preserve">CVC investors may encounter </w:t>
      </w:r>
      <w:r w:rsidR="00D41979" w:rsidRPr="00A7624F">
        <w:rPr>
          <w:rFonts w:ascii="Times New Roman" w:hAnsi="Times New Roman"/>
          <w:sz w:val="24"/>
          <w:szCs w:val="24"/>
        </w:rPr>
        <w:t xml:space="preserve">incompetency in evaluating portfolio companies as potential acquiring targets.  </w:t>
      </w:r>
      <w:r w:rsidR="00C558C1" w:rsidRPr="00A7624F">
        <w:rPr>
          <w:rFonts w:ascii="Times New Roman" w:hAnsi="Times New Roman"/>
          <w:sz w:val="24"/>
          <w:szCs w:val="24"/>
        </w:rPr>
        <w:t xml:space="preserve">That is, </w:t>
      </w:r>
      <w:r w:rsidR="00E30067" w:rsidRPr="00A7624F">
        <w:rPr>
          <w:rFonts w:ascii="Times New Roman" w:hAnsi="Times New Roman"/>
          <w:sz w:val="24"/>
          <w:szCs w:val="24"/>
        </w:rPr>
        <w:t>they could not</w:t>
      </w:r>
      <w:r w:rsidR="00D41979" w:rsidRPr="00A7624F">
        <w:rPr>
          <w:rFonts w:ascii="Times New Roman" w:hAnsi="Times New Roman"/>
          <w:sz w:val="24"/>
          <w:szCs w:val="24"/>
        </w:rPr>
        <w:t xml:space="preserve"> properly evaluate portfolio companies’ markets, products and technologies, and therefore increase the chance to make wrong acquisition decisions; namely, acquiring portfolio companies when they should not but giving up the option to acquire portfolio companies when they should. </w:t>
      </w:r>
      <w:r w:rsidR="00B00064" w:rsidRPr="00A7624F">
        <w:rPr>
          <w:rFonts w:ascii="Times New Roman" w:hAnsi="Times New Roman"/>
          <w:sz w:val="24"/>
          <w:szCs w:val="24"/>
        </w:rPr>
        <w:t xml:space="preserve"> Indeed, Benson and </w:t>
      </w:r>
      <w:proofErr w:type="spellStart"/>
      <w:r w:rsidR="00B00064" w:rsidRPr="00A7624F">
        <w:rPr>
          <w:rFonts w:ascii="Times New Roman" w:hAnsi="Times New Roman"/>
          <w:sz w:val="24"/>
          <w:szCs w:val="24"/>
        </w:rPr>
        <w:t>Ziedonis</w:t>
      </w:r>
      <w:proofErr w:type="spellEnd"/>
      <w:r w:rsidR="00B00064" w:rsidRPr="00A7624F">
        <w:rPr>
          <w:rFonts w:ascii="Times New Roman" w:hAnsi="Times New Roman"/>
          <w:sz w:val="24"/>
          <w:szCs w:val="24"/>
        </w:rPr>
        <w:t xml:space="preserve">’ analysis has revealed that CVC program structure (dedicated fund or not) influences acquisition performance because managers from different CVC programs vary in their abilities to manage CVC investments and to make decisions on acquiring (or not acquiring) their portfolio companies.  </w:t>
      </w:r>
      <w:r w:rsidR="0080589C" w:rsidRPr="00A7624F">
        <w:rPr>
          <w:rFonts w:ascii="Times New Roman" w:hAnsi="Times New Roman"/>
          <w:sz w:val="24"/>
          <w:szCs w:val="24"/>
        </w:rPr>
        <w:t xml:space="preserve">Future studies could probe more deeply into factors at both the firm and industry levels that could influence CVC investors to decide on whether to acquire portfolio companies and which one to acquire. </w:t>
      </w:r>
    </w:p>
    <w:p w:rsidR="00B00064" w:rsidRPr="00A7624F" w:rsidRDefault="0080589C" w:rsidP="00E30067">
      <w:pPr>
        <w:pStyle w:val="NoSpacing"/>
        <w:spacing w:line="480" w:lineRule="auto"/>
        <w:ind w:firstLine="720"/>
        <w:rPr>
          <w:rFonts w:ascii="Times New Roman" w:hAnsi="Times New Roman"/>
          <w:sz w:val="24"/>
          <w:szCs w:val="24"/>
        </w:rPr>
      </w:pPr>
      <w:r w:rsidRPr="00A7624F">
        <w:rPr>
          <w:rFonts w:ascii="Times New Roman" w:hAnsi="Times New Roman"/>
          <w:sz w:val="24"/>
          <w:szCs w:val="24"/>
        </w:rPr>
        <w:t>For instance, i</w:t>
      </w:r>
      <w:r w:rsidR="00B00064" w:rsidRPr="00A7624F">
        <w:rPr>
          <w:rFonts w:ascii="Times New Roman" w:hAnsi="Times New Roman"/>
          <w:sz w:val="24"/>
          <w:szCs w:val="24"/>
        </w:rPr>
        <w:t xml:space="preserve">n addition to the CVC organization structure as Benson and </w:t>
      </w:r>
      <w:proofErr w:type="spellStart"/>
      <w:r w:rsidR="00B00064" w:rsidRPr="00A7624F">
        <w:rPr>
          <w:rFonts w:ascii="Times New Roman" w:hAnsi="Times New Roman"/>
          <w:sz w:val="24"/>
          <w:szCs w:val="24"/>
        </w:rPr>
        <w:t>Ziedonis</w:t>
      </w:r>
      <w:proofErr w:type="spellEnd"/>
      <w:r w:rsidR="00B00064" w:rsidRPr="00A7624F">
        <w:rPr>
          <w:rFonts w:ascii="Times New Roman" w:hAnsi="Times New Roman"/>
          <w:sz w:val="24"/>
          <w:szCs w:val="24"/>
        </w:rPr>
        <w:t xml:space="preserve"> (2010) suggested, other factors may bring to </w:t>
      </w:r>
      <w:r w:rsidR="00E30067" w:rsidRPr="00A7624F">
        <w:rPr>
          <w:rFonts w:ascii="Times New Roman" w:hAnsi="Times New Roman"/>
          <w:sz w:val="24"/>
          <w:szCs w:val="24"/>
        </w:rPr>
        <w:t>CVC investor’s incompetency</w:t>
      </w:r>
      <w:r w:rsidR="00B00064" w:rsidRPr="00A7624F">
        <w:rPr>
          <w:rFonts w:ascii="Times New Roman" w:hAnsi="Times New Roman"/>
          <w:sz w:val="24"/>
          <w:szCs w:val="24"/>
        </w:rPr>
        <w:t xml:space="preserve">, for example, </w:t>
      </w:r>
      <w:r w:rsidR="00E30067" w:rsidRPr="00A7624F">
        <w:rPr>
          <w:rFonts w:ascii="Times New Roman" w:hAnsi="Times New Roman"/>
          <w:sz w:val="24"/>
          <w:szCs w:val="24"/>
        </w:rPr>
        <w:t xml:space="preserve">CVC managers’ agency issues.  </w:t>
      </w:r>
      <w:r w:rsidR="00B00064" w:rsidRPr="00A7624F">
        <w:rPr>
          <w:rFonts w:ascii="Times New Roman" w:hAnsi="Times New Roman"/>
          <w:sz w:val="24"/>
          <w:szCs w:val="24"/>
        </w:rPr>
        <w:t>S</w:t>
      </w:r>
      <w:r w:rsidR="00E30067" w:rsidRPr="00A7624F">
        <w:rPr>
          <w:rFonts w:ascii="Times New Roman" w:hAnsi="Times New Roman"/>
          <w:sz w:val="24"/>
          <w:szCs w:val="24"/>
        </w:rPr>
        <w:t xml:space="preserve">yndicated investments are very common in the venture capital market, especially in the United States.  Through investment syndications, CVC managers could </w:t>
      </w:r>
      <w:r w:rsidR="00E30067" w:rsidRPr="00A7624F">
        <w:rPr>
          <w:rFonts w:ascii="Times New Roman" w:hAnsi="Times New Roman"/>
          <w:sz w:val="24"/>
          <w:szCs w:val="24"/>
        </w:rPr>
        <w:lastRenderedPageBreak/>
        <w:t xml:space="preserve">diversify their investment portfolio and spread out risks.  Being minor investors in multiple deals may benefit CVC managers individually, but </w:t>
      </w:r>
      <w:r w:rsidR="00B00064" w:rsidRPr="00A7624F">
        <w:rPr>
          <w:rFonts w:ascii="Times New Roman" w:hAnsi="Times New Roman"/>
          <w:sz w:val="24"/>
          <w:szCs w:val="24"/>
        </w:rPr>
        <w:t>such investment strategy may</w:t>
      </w:r>
      <w:r w:rsidR="00E30067" w:rsidRPr="00A7624F">
        <w:rPr>
          <w:rFonts w:ascii="Times New Roman" w:hAnsi="Times New Roman"/>
          <w:sz w:val="24"/>
          <w:szCs w:val="24"/>
        </w:rPr>
        <w:t xml:space="preserve"> bring negative strategic consequences to their parent.  </w:t>
      </w:r>
    </w:p>
    <w:p w:rsidR="00B00064" w:rsidRPr="00A7624F" w:rsidRDefault="00B00064" w:rsidP="00E30067">
      <w:pPr>
        <w:pStyle w:val="NoSpacing"/>
        <w:spacing w:line="480" w:lineRule="auto"/>
        <w:ind w:firstLine="720"/>
        <w:rPr>
          <w:rFonts w:ascii="Times New Roman" w:hAnsi="Times New Roman"/>
          <w:sz w:val="24"/>
          <w:szCs w:val="24"/>
        </w:rPr>
      </w:pPr>
      <w:r w:rsidRPr="00A7624F">
        <w:rPr>
          <w:rFonts w:ascii="Times New Roman" w:hAnsi="Times New Roman"/>
          <w:sz w:val="24"/>
          <w:szCs w:val="24"/>
        </w:rPr>
        <w:t>Another possible explanation is the involvement of other CVC investors in the acquisition decision making process.  The presence of other CVC investors in the same portfolio company may lead to acquisition bidding war; namely, other CVC investors in the portfolio companies can be potential acquirers.  Thus, the more other CVC investors exist, the more likely CVC investor acquirer faces intense competition in the acquisition bidding process.  Such competition may force CVC investors to make acquisition decision quickly without thoroughly examining the potential target, and may drive up the bidding price and make the winner overpay the acquisition.</w:t>
      </w:r>
    </w:p>
    <w:p w:rsidR="00C701F0" w:rsidRPr="00A7624F" w:rsidRDefault="004026CD" w:rsidP="00C701F0">
      <w:pPr>
        <w:pStyle w:val="NoSpacing"/>
        <w:spacing w:line="480" w:lineRule="auto"/>
        <w:ind w:firstLine="720"/>
        <w:rPr>
          <w:rFonts w:ascii="Times New Roman" w:hAnsi="Times New Roman"/>
          <w:sz w:val="24"/>
          <w:szCs w:val="24"/>
        </w:rPr>
      </w:pPr>
      <w:r w:rsidRPr="00A7624F">
        <w:rPr>
          <w:rFonts w:ascii="Times New Roman" w:hAnsi="Times New Roman"/>
          <w:sz w:val="24"/>
          <w:szCs w:val="24"/>
        </w:rPr>
        <w:t xml:space="preserve">Although the market generally reacts to CVC acquisitions by third-party acquirers more positively than those by CVC investors, neither of the group’s CARs is significantly different from zero.  That is, there are plenty of CVC acquisitions by CVC investors that received positive market reactions, and some of the acquisitions by third party acquirers received negative market reactions.  Thus, we further </w:t>
      </w:r>
      <w:r w:rsidR="0080589C" w:rsidRPr="00A7624F">
        <w:rPr>
          <w:rFonts w:ascii="Times New Roman" w:hAnsi="Times New Roman"/>
          <w:sz w:val="24"/>
          <w:szCs w:val="24"/>
        </w:rPr>
        <w:t>in</w:t>
      </w:r>
      <w:r w:rsidRPr="00A7624F">
        <w:rPr>
          <w:rFonts w:ascii="Times New Roman" w:hAnsi="Times New Roman"/>
          <w:sz w:val="24"/>
          <w:szCs w:val="24"/>
        </w:rPr>
        <w:t xml:space="preserve">vestigate the interactive impacts of acquirer in-house R&amp;D and the characteristics of pre-existing investment relationship (CVC major investor, small investor) on the variation of market reactions. </w:t>
      </w:r>
      <w:r w:rsidR="00C65C2A" w:rsidRPr="00A7624F">
        <w:rPr>
          <w:rFonts w:ascii="Times New Roman" w:hAnsi="Times New Roman"/>
          <w:sz w:val="24"/>
          <w:szCs w:val="24"/>
        </w:rPr>
        <w:t xml:space="preserve"> </w:t>
      </w:r>
    </w:p>
    <w:p w:rsidR="00D41979" w:rsidRPr="00A7624F" w:rsidRDefault="00C65C2A" w:rsidP="004026CD">
      <w:pPr>
        <w:pStyle w:val="NoSpacing"/>
        <w:spacing w:line="480" w:lineRule="auto"/>
        <w:ind w:firstLine="720"/>
        <w:rPr>
          <w:rFonts w:ascii="Times New Roman" w:hAnsi="Times New Roman"/>
          <w:sz w:val="24"/>
          <w:szCs w:val="24"/>
        </w:rPr>
      </w:pPr>
      <w:r w:rsidRPr="00A7624F">
        <w:rPr>
          <w:rFonts w:ascii="Times New Roman" w:hAnsi="Times New Roman"/>
          <w:sz w:val="24"/>
          <w:szCs w:val="24"/>
        </w:rPr>
        <w:t>In general, we find CVC investor acquirer’s R&amp;D activities have negative impacts on market reaction, and such negative impacts become more significant when CVC investor is the major investor.  Indeed, t</w:t>
      </w:r>
      <w:r w:rsidR="00090AFA" w:rsidRPr="00A7624F">
        <w:rPr>
          <w:rFonts w:ascii="Times New Roman" w:hAnsi="Times New Roman"/>
          <w:sz w:val="24"/>
          <w:szCs w:val="24"/>
        </w:rPr>
        <w:t xml:space="preserve">he primary purpose for established companies to acquire entrepreneurial companies is to obtain innovative technologies/products developed by the latter.  </w:t>
      </w:r>
      <w:r w:rsidR="00723CCC" w:rsidRPr="00A7624F">
        <w:rPr>
          <w:rFonts w:ascii="Times New Roman" w:hAnsi="Times New Roman"/>
          <w:sz w:val="24"/>
          <w:szCs w:val="24"/>
        </w:rPr>
        <w:t>Although</w:t>
      </w:r>
      <w:r w:rsidRPr="00A7624F">
        <w:rPr>
          <w:rFonts w:ascii="Times New Roman" w:hAnsi="Times New Roman"/>
          <w:sz w:val="24"/>
          <w:szCs w:val="24"/>
        </w:rPr>
        <w:t xml:space="preserve"> i</w:t>
      </w:r>
      <w:r w:rsidR="00090AFA" w:rsidRPr="00A7624F">
        <w:rPr>
          <w:rFonts w:ascii="Times New Roman" w:hAnsi="Times New Roman"/>
          <w:sz w:val="24"/>
          <w:szCs w:val="24"/>
        </w:rPr>
        <w:t xml:space="preserve">n-house R&amp;D intensity reflects a CVC investor acquirer’s technological competency which may </w:t>
      </w:r>
      <w:r w:rsidR="00090AFA" w:rsidRPr="00A7624F">
        <w:rPr>
          <w:rFonts w:ascii="Times New Roman" w:hAnsi="Times New Roman"/>
          <w:sz w:val="24"/>
          <w:szCs w:val="24"/>
        </w:rPr>
        <w:lastRenderedPageBreak/>
        <w:t>help it properly evaluate portfolio company’s technologies</w:t>
      </w:r>
      <w:r w:rsidRPr="00A7624F">
        <w:rPr>
          <w:rFonts w:ascii="Times New Roman" w:hAnsi="Times New Roman"/>
          <w:sz w:val="24"/>
          <w:szCs w:val="24"/>
        </w:rPr>
        <w:t xml:space="preserve">, some in-house R&amp;D efforts will be wiped out once the </w:t>
      </w:r>
      <w:proofErr w:type="gramStart"/>
      <w:r w:rsidRPr="00A7624F">
        <w:rPr>
          <w:rFonts w:ascii="Times New Roman" w:hAnsi="Times New Roman"/>
          <w:sz w:val="24"/>
          <w:szCs w:val="24"/>
        </w:rPr>
        <w:t>new technologies</w:t>
      </w:r>
      <w:proofErr w:type="gramEnd"/>
      <w:r w:rsidRPr="00A7624F">
        <w:rPr>
          <w:rFonts w:ascii="Times New Roman" w:hAnsi="Times New Roman"/>
          <w:sz w:val="24"/>
          <w:szCs w:val="24"/>
        </w:rPr>
        <w:t xml:space="preserve">/products are acquired. </w:t>
      </w:r>
      <w:r w:rsidR="00437C14" w:rsidRPr="00A7624F">
        <w:rPr>
          <w:rFonts w:ascii="Times New Roman" w:hAnsi="Times New Roman"/>
          <w:sz w:val="24"/>
          <w:szCs w:val="24"/>
        </w:rPr>
        <w:t xml:space="preserve"> It seems that the market views </w:t>
      </w:r>
      <w:r w:rsidR="00723CCC" w:rsidRPr="00A7624F">
        <w:rPr>
          <w:rFonts w:ascii="Times New Roman" w:hAnsi="Times New Roman"/>
          <w:sz w:val="24"/>
          <w:szCs w:val="24"/>
        </w:rPr>
        <w:t xml:space="preserve">there is </w:t>
      </w:r>
      <w:r w:rsidR="00437C14" w:rsidRPr="00A7624F">
        <w:rPr>
          <w:rFonts w:ascii="Times New Roman" w:hAnsi="Times New Roman"/>
          <w:sz w:val="24"/>
          <w:szCs w:val="24"/>
        </w:rPr>
        <w:t xml:space="preserve">a higher chance for the CVC investor with high in-house R&amp;D activity to </w:t>
      </w:r>
      <w:r w:rsidR="00723CCC" w:rsidRPr="00A7624F">
        <w:rPr>
          <w:rFonts w:ascii="Times New Roman" w:hAnsi="Times New Roman"/>
          <w:sz w:val="24"/>
          <w:szCs w:val="24"/>
        </w:rPr>
        <w:t>squander</w:t>
      </w:r>
      <w:r w:rsidR="00437C14" w:rsidRPr="00A7624F">
        <w:rPr>
          <w:rFonts w:ascii="Times New Roman" w:hAnsi="Times New Roman"/>
          <w:sz w:val="24"/>
          <w:szCs w:val="24"/>
        </w:rPr>
        <w:t xml:space="preserve"> more R&amp;D resources when </w:t>
      </w:r>
      <w:r w:rsidR="00090AFA" w:rsidRPr="00A7624F">
        <w:rPr>
          <w:rFonts w:ascii="Times New Roman" w:hAnsi="Times New Roman"/>
          <w:sz w:val="24"/>
          <w:szCs w:val="24"/>
        </w:rPr>
        <w:t xml:space="preserve">acquiring an entrepreneurial company </w:t>
      </w:r>
      <w:r w:rsidR="00AE5F93">
        <w:rPr>
          <w:rFonts w:ascii="Times New Roman" w:hAnsi="Times New Roman"/>
          <w:sz w:val="24"/>
          <w:szCs w:val="24"/>
        </w:rPr>
        <w:t xml:space="preserve">with which </w:t>
      </w:r>
      <w:r w:rsidR="00437C14" w:rsidRPr="00A7624F">
        <w:rPr>
          <w:rFonts w:ascii="Times New Roman" w:hAnsi="Times New Roman"/>
          <w:sz w:val="24"/>
          <w:szCs w:val="24"/>
        </w:rPr>
        <w:t xml:space="preserve">it has stronger </w:t>
      </w:r>
      <w:r w:rsidR="00090AFA" w:rsidRPr="00A7624F">
        <w:rPr>
          <w:rFonts w:ascii="Times New Roman" w:hAnsi="Times New Roman"/>
          <w:sz w:val="24"/>
          <w:szCs w:val="24"/>
        </w:rPr>
        <w:t>preexisting investment tie.</w:t>
      </w:r>
      <w:r w:rsidR="00723CCC" w:rsidRPr="00A7624F">
        <w:rPr>
          <w:rFonts w:ascii="Times New Roman" w:hAnsi="Times New Roman"/>
          <w:sz w:val="24"/>
          <w:szCs w:val="24"/>
        </w:rPr>
        <w:t xml:space="preserve">  In the future, other factors that may influence the variation of market reaction deserve further investigation.  </w:t>
      </w:r>
    </w:p>
    <w:p w:rsidR="00103EB3" w:rsidRPr="00A7624F" w:rsidRDefault="00C65C2A" w:rsidP="00723CCC">
      <w:pPr>
        <w:jc w:val="center"/>
        <w:rPr>
          <w:rFonts w:ascii="Times New Roman" w:hAnsi="Times New Roman"/>
          <w:b/>
          <w:sz w:val="24"/>
          <w:szCs w:val="24"/>
        </w:rPr>
      </w:pPr>
      <w:bookmarkStart w:id="1" w:name="_ENREF_1"/>
      <w:r w:rsidRPr="00A7624F">
        <w:rPr>
          <w:rFonts w:ascii="Times New Roman" w:hAnsi="Times New Roman"/>
          <w:b/>
          <w:sz w:val="24"/>
          <w:szCs w:val="24"/>
        </w:rPr>
        <w:t>C</w:t>
      </w:r>
      <w:r w:rsidR="004026CD" w:rsidRPr="00A7624F">
        <w:rPr>
          <w:rFonts w:ascii="Times New Roman" w:hAnsi="Times New Roman"/>
          <w:b/>
          <w:sz w:val="24"/>
          <w:szCs w:val="24"/>
        </w:rPr>
        <w:t>ONCLUSION</w:t>
      </w:r>
    </w:p>
    <w:p w:rsidR="004026CD" w:rsidRPr="00A7624F" w:rsidRDefault="004026CD" w:rsidP="004026CD">
      <w:pPr>
        <w:spacing w:after="0" w:line="480" w:lineRule="auto"/>
        <w:rPr>
          <w:rFonts w:ascii="Times New Roman" w:hAnsi="Times New Roman"/>
        </w:rPr>
      </w:pPr>
      <w:r w:rsidRPr="00A7624F">
        <w:rPr>
          <w:rFonts w:ascii="Times New Roman" w:hAnsi="Times New Roman"/>
          <w:sz w:val="24"/>
          <w:szCs w:val="24"/>
        </w:rPr>
        <w:t xml:space="preserve">Our study attempts to advance the understanding of this phenomenon by examining the market reactions to CVC acquisitions when different acquirers are involved (CVC investor acquirer vs. third-party acquirers).  Specifically, we find the market reacts more positively to CVC acquisitions by third-party acquirers than by CVC investors.  Furthermore, the findings show that the relationship between acquirer in-house R&amp;D and market reactions to CVC acquisitions is moderated by whether CVC investors are the major investor </w:t>
      </w:r>
      <w:proofErr w:type="gramStart"/>
      <w:r w:rsidRPr="00A7624F">
        <w:rPr>
          <w:rFonts w:ascii="Times New Roman" w:hAnsi="Times New Roman"/>
          <w:i/>
          <w:sz w:val="24"/>
          <w:szCs w:val="24"/>
        </w:rPr>
        <w:t>pre</w:t>
      </w:r>
      <w:r w:rsidRPr="00A7624F">
        <w:rPr>
          <w:rFonts w:ascii="Times New Roman" w:hAnsi="Times New Roman"/>
          <w:sz w:val="24"/>
          <w:szCs w:val="24"/>
        </w:rPr>
        <w:t xml:space="preserve"> acquisition</w:t>
      </w:r>
      <w:proofErr w:type="gramEnd"/>
      <w:r w:rsidRPr="00A7624F">
        <w:rPr>
          <w:rFonts w:ascii="Times New Roman" w:hAnsi="Times New Roman"/>
          <w:sz w:val="24"/>
          <w:szCs w:val="24"/>
        </w:rPr>
        <w:t xml:space="preserve">. </w:t>
      </w:r>
      <w:r w:rsidR="00723CCC" w:rsidRPr="00A7624F">
        <w:rPr>
          <w:rFonts w:ascii="Times New Roman" w:hAnsi="Times New Roman"/>
          <w:sz w:val="24"/>
          <w:szCs w:val="24"/>
        </w:rPr>
        <w:t xml:space="preserve">The findings could provide managerial implications to CVC investors as well as their CVC managers in terms of acquisition strategies.  </w:t>
      </w:r>
    </w:p>
    <w:p w:rsidR="004026CD" w:rsidRPr="00A7624F" w:rsidRDefault="004026CD">
      <w:pPr>
        <w:rPr>
          <w:rFonts w:ascii="Times New Roman" w:hAnsi="Times New Roman"/>
          <w:b/>
          <w:sz w:val="24"/>
          <w:szCs w:val="24"/>
        </w:rPr>
      </w:pPr>
    </w:p>
    <w:p w:rsidR="004026CD" w:rsidRPr="00A7624F" w:rsidRDefault="004026CD">
      <w:pPr>
        <w:rPr>
          <w:rFonts w:ascii="Times New Roman" w:hAnsi="Times New Roman"/>
          <w:b/>
          <w:sz w:val="24"/>
          <w:szCs w:val="24"/>
        </w:rPr>
      </w:pPr>
      <w:r w:rsidRPr="00A7624F">
        <w:rPr>
          <w:rFonts w:ascii="Times New Roman" w:hAnsi="Times New Roman"/>
          <w:b/>
          <w:sz w:val="24"/>
          <w:szCs w:val="24"/>
        </w:rPr>
        <w:br w:type="page"/>
      </w:r>
    </w:p>
    <w:p w:rsidR="00D41979" w:rsidRPr="00A7624F" w:rsidRDefault="00D41979" w:rsidP="0092044C">
      <w:pPr>
        <w:rPr>
          <w:rFonts w:ascii="Times New Roman" w:hAnsi="Times New Roman"/>
          <w:b/>
          <w:sz w:val="24"/>
          <w:szCs w:val="24"/>
        </w:rPr>
      </w:pPr>
      <w:r w:rsidRPr="00A7624F">
        <w:rPr>
          <w:rFonts w:ascii="Times New Roman" w:hAnsi="Times New Roman"/>
          <w:b/>
          <w:sz w:val="24"/>
          <w:szCs w:val="24"/>
        </w:rPr>
        <w:lastRenderedPageBreak/>
        <w:t>References:</w:t>
      </w:r>
    </w:p>
    <w:p w:rsidR="00D41979" w:rsidRPr="00A7624F" w:rsidRDefault="00D41979" w:rsidP="0092044C">
      <w:pPr>
        <w:tabs>
          <w:tab w:val="left" w:pos="720"/>
        </w:tabs>
        <w:spacing w:after="0" w:line="240" w:lineRule="auto"/>
        <w:ind w:left="720" w:hanging="720"/>
        <w:rPr>
          <w:rFonts w:ascii="Times New Roman" w:hAnsi="Times New Roman"/>
          <w:sz w:val="24"/>
          <w:szCs w:val="24"/>
        </w:rPr>
      </w:pPr>
      <w:proofErr w:type="spellStart"/>
      <w:r w:rsidRPr="00A7624F">
        <w:rPr>
          <w:rFonts w:ascii="Times New Roman" w:hAnsi="Times New Roman"/>
          <w:sz w:val="24"/>
          <w:szCs w:val="24"/>
        </w:rPr>
        <w:t>Asel</w:t>
      </w:r>
      <w:proofErr w:type="spellEnd"/>
      <w:r w:rsidRPr="00A7624F">
        <w:rPr>
          <w:rFonts w:ascii="Times New Roman" w:hAnsi="Times New Roman"/>
          <w:sz w:val="24"/>
          <w:szCs w:val="24"/>
        </w:rPr>
        <w:t xml:space="preserve">, P., Park, H.D., &amp; </w:t>
      </w:r>
      <w:proofErr w:type="spellStart"/>
      <w:r w:rsidRPr="00A7624F">
        <w:rPr>
          <w:rFonts w:ascii="Times New Roman" w:hAnsi="Times New Roman"/>
          <w:sz w:val="24"/>
          <w:szCs w:val="24"/>
        </w:rPr>
        <w:t>Velamuri</w:t>
      </w:r>
      <w:proofErr w:type="spellEnd"/>
      <w:r w:rsidRPr="00A7624F">
        <w:rPr>
          <w:rFonts w:ascii="Times New Roman" w:hAnsi="Times New Roman"/>
          <w:sz w:val="24"/>
          <w:szCs w:val="24"/>
        </w:rPr>
        <w:t>, S.R. 2015. Creating values through corporate venture capital programs: The choice between internal and external fund structures.  Journal of Private Equity, 19(1), 63-72.</w:t>
      </w:r>
    </w:p>
    <w:p w:rsidR="00D41979" w:rsidRPr="00A7624F" w:rsidRDefault="00D41979" w:rsidP="0092044C">
      <w:pPr>
        <w:tabs>
          <w:tab w:val="left" w:pos="3171"/>
        </w:tabs>
        <w:spacing w:after="0" w:line="240" w:lineRule="auto"/>
        <w:ind w:left="720" w:hanging="720"/>
        <w:rPr>
          <w:rFonts w:ascii="Times New Roman" w:hAnsi="Times New Roman"/>
          <w:sz w:val="24"/>
          <w:szCs w:val="24"/>
        </w:rPr>
      </w:pPr>
      <w:r w:rsidRPr="00A7624F">
        <w:rPr>
          <w:rFonts w:ascii="Times New Roman" w:hAnsi="Times New Roman"/>
          <w:sz w:val="24"/>
          <w:szCs w:val="24"/>
        </w:rPr>
        <w:tab/>
      </w:r>
      <w:r w:rsidRPr="00A7624F">
        <w:rPr>
          <w:rFonts w:ascii="Times New Roman" w:hAnsi="Times New Roman"/>
          <w:sz w:val="24"/>
          <w:szCs w:val="24"/>
        </w:rPr>
        <w:tab/>
      </w:r>
    </w:p>
    <w:p w:rsidR="00D41979" w:rsidRPr="00A7624F" w:rsidRDefault="00D41979" w:rsidP="0092044C">
      <w:pPr>
        <w:tabs>
          <w:tab w:val="left" w:pos="720"/>
        </w:tabs>
        <w:spacing w:after="0" w:line="240" w:lineRule="auto"/>
        <w:ind w:left="720" w:hanging="720"/>
        <w:rPr>
          <w:rFonts w:ascii="Times New Roman" w:hAnsi="Times New Roman"/>
          <w:sz w:val="24"/>
          <w:szCs w:val="24"/>
        </w:rPr>
      </w:pPr>
      <w:r w:rsidRPr="00A7624F">
        <w:rPr>
          <w:rFonts w:ascii="Times New Roman" w:hAnsi="Times New Roman"/>
          <w:sz w:val="24"/>
          <w:szCs w:val="24"/>
        </w:rPr>
        <w:t xml:space="preserve">Benson, D., &amp; </w:t>
      </w:r>
      <w:proofErr w:type="spellStart"/>
      <w:r w:rsidRPr="00A7624F">
        <w:rPr>
          <w:rFonts w:ascii="Times New Roman" w:hAnsi="Times New Roman"/>
          <w:sz w:val="24"/>
          <w:szCs w:val="24"/>
        </w:rPr>
        <w:t>Ziedonis</w:t>
      </w:r>
      <w:proofErr w:type="spellEnd"/>
      <w:r w:rsidRPr="00A7624F">
        <w:rPr>
          <w:rFonts w:ascii="Times New Roman" w:hAnsi="Times New Roman"/>
          <w:sz w:val="24"/>
          <w:szCs w:val="24"/>
        </w:rPr>
        <w:t xml:space="preserve">, R. 2010.  Corporate venture capital and the returns to acquiring portfolio companies. Journal of Financial Economics, 98(3), 478-499. </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r w:rsidRPr="00A7624F">
        <w:rPr>
          <w:rFonts w:ascii="Times New Roman" w:hAnsi="Times New Roman"/>
          <w:sz w:val="24"/>
          <w:szCs w:val="24"/>
        </w:rPr>
        <w:t>Block, Z., &amp; MacMillan, I. C. 1993. Corporate Venturing. Boston, MA: Harvard Business School Press.</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proofErr w:type="spellStart"/>
      <w:r w:rsidRPr="00A7624F">
        <w:rPr>
          <w:rFonts w:ascii="Times New Roman" w:hAnsi="Times New Roman"/>
          <w:sz w:val="24"/>
          <w:szCs w:val="24"/>
        </w:rPr>
        <w:t>Bottazzi</w:t>
      </w:r>
      <w:proofErr w:type="spellEnd"/>
      <w:r w:rsidRPr="00A7624F">
        <w:rPr>
          <w:rFonts w:ascii="Times New Roman" w:hAnsi="Times New Roman"/>
          <w:sz w:val="24"/>
          <w:szCs w:val="24"/>
        </w:rPr>
        <w:t xml:space="preserve"> L, </w:t>
      </w:r>
      <w:proofErr w:type="spellStart"/>
      <w:r w:rsidRPr="00A7624F">
        <w:rPr>
          <w:rFonts w:ascii="Times New Roman" w:hAnsi="Times New Roman"/>
          <w:sz w:val="24"/>
          <w:szCs w:val="24"/>
        </w:rPr>
        <w:t>DaRin</w:t>
      </w:r>
      <w:proofErr w:type="spellEnd"/>
      <w:r w:rsidRPr="00A7624F">
        <w:rPr>
          <w:rFonts w:ascii="Times New Roman" w:hAnsi="Times New Roman"/>
          <w:sz w:val="24"/>
          <w:szCs w:val="24"/>
        </w:rPr>
        <w:t xml:space="preserve"> M, Hellmann T. 2004. The changing face of the European venture capital industry: facts and analysis. Journal of Private Equity, 7: 26–53 (Spring).</w:t>
      </w:r>
    </w:p>
    <w:p w:rsidR="00D41979" w:rsidRPr="00A7624F" w:rsidRDefault="00D41979" w:rsidP="0092044C">
      <w:pPr>
        <w:tabs>
          <w:tab w:val="left" w:pos="720"/>
        </w:tabs>
        <w:spacing w:after="0" w:line="240" w:lineRule="auto"/>
        <w:ind w:left="720" w:hanging="720"/>
        <w:jc w:val="center"/>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r w:rsidRPr="00A7624F">
        <w:rPr>
          <w:rFonts w:ascii="Times New Roman" w:hAnsi="Times New Roman"/>
          <w:sz w:val="24"/>
          <w:szCs w:val="24"/>
        </w:rPr>
        <w:t>Chesbrough, H. 2002.  Making sense of corporate venture capital.  Harvard Business Review, 80/3: 90-99</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proofErr w:type="spellStart"/>
      <w:r w:rsidRPr="00A7624F">
        <w:rPr>
          <w:rFonts w:ascii="Times New Roman" w:hAnsi="Times New Roman"/>
          <w:sz w:val="24"/>
          <w:szCs w:val="24"/>
        </w:rPr>
        <w:t>Covin</w:t>
      </w:r>
      <w:proofErr w:type="spellEnd"/>
      <w:r w:rsidRPr="00A7624F">
        <w:rPr>
          <w:rFonts w:ascii="Times New Roman" w:hAnsi="Times New Roman"/>
          <w:sz w:val="24"/>
          <w:szCs w:val="24"/>
        </w:rPr>
        <w:t xml:space="preserve">, J. &amp; Miles, M. 1999.  Corporate entrepreneurship and the pursuit of competitive advantage.  Entrepreneurship Theory &amp; Practice, 23/3: 47-63. </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proofErr w:type="spellStart"/>
      <w:r w:rsidRPr="00A7624F">
        <w:rPr>
          <w:rFonts w:ascii="Times New Roman" w:hAnsi="Times New Roman"/>
          <w:sz w:val="24"/>
          <w:szCs w:val="24"/>
        </w:rPr>
        <w:t>Dushnitsky</w:t>
      </w:r>
      <w:proofErr w:type="spellEnd"/>
      <w:r w:rsidRPr="00A7624F">
        <w:rPr>
          <w:rFonts w:ascii="Times New Roman" w:hAnsi="Times New Roman"/>
          <w:sz w:val="24"/>
          <w:szCs w:val="24"/>
        </w:rPr>
        <w:t>, G. &amp; Lenox, M.J. 2005.  When do incumbents learn from entrepreneurial ventures? Corporate venture capital and investing firm innovation rates.  Research Policy: 34/5: 615-639</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proofErr w:type="spellStart"/>
      <w:r w:rsidRPr="00A7624F">
        <w:rPr>
          <w:rFonts w:ascii="Times New Roman" w:hAnsi="Times New Roman"/>
          <w:sz w:val="24"/>
          <w:szCs w:val="24"/>
        </w:rPr>
        <w:t>Dushnitsky</w:t>
      </w:r>
      <w:proofErr w:type="spellEnd"/>
      <w:r w:rsidRPr="00A7624F">
        <w:rPr>
          <w:rFonts w:ascii="Times New Roman" w:hAnsi="Times New Roman"/>
          <w:sz w:val="24"/>
          <w:szCs w:val="24"/>
        </w:rPr>
        <w:t> G, Lenox MJ. 2006. When does corporate venture capital investment create firm value? Journal of Business Venturing 21(6): 753-772.</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proofErr w:type="spellStart"/>
      <w:r w:rsidRPr="00A7624F">
        <w:rPr>
          <w:rFonts w:ascii="Times New Roman" w:hAnsi="Times New Roman"/>
          <w:sz w:val="24"/>
          <w:szCs w:val="24"/>
        </w:rPr>
        <w:t>Dushnitsky</w:t>
      </w:r>
      <w:proofErr w:type="spellEnd"/>
      <w:r w:rsidRPr="00A7624F">
        <w:rPr>
          <w:rFonts w:ascii="Times New Roman" w:hAnsi="Times New Roman"/>
          <w:sz w:val="24"/>
          <w:szCs w:val="24"/>
        </w:rPr>
        <w:t xml:space="preserve"> G, Shaver JM. 2009. Limitations to interorganizational knowledge acquisition: The paradox of corporate venture capital. Strategic Management Journal 30: 1045-1064. </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r w:rsidRPr="00A7624F">
        <w:rPr>
          <w:rFonts w:ascii="Times New Roman" w:hAnsi="Times New Roman"/>
          <w:sz w:val="24"/>
          <w:szCs w:val="24"/>
        </w:rPr>
        <w:t>Gompers, P. 2002. Corporations and the financing of innovation: The corporate venturing experience. Economic Review -Federal Reserve Bank of Atlanta, 87/4: 1-17.</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r w:rsidRPr="00A7624F">
        <w:rPr>
          <w:rFonts w:ascii="Times New Roman" w:hAnsi="Times New Roman"/>
          <w:sz w:val="24"/>
          <w:szCs w:val="24"/>
        </w:rPr>
        <w:t>Gompers, P. &amp; Lerner, J. 1998.  The determinants of corporate venture capital success: Organizational structure, incentives and complementarities.  NBER #6725.</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r w:rsidRPr="00A7624F">
        <w:rPr>
          <w:rFonts w:ascii="Times New Roman" w:hAnsi="Times New Roman"/>
          <w:sz w:val="24"/>
          <w:szCs w:val="24"/>
        </w:rPr>
        <w:t xml:space="preserve">Gompers, P. &amp; Lerner, J. 2001.  The Money of Invention: How Venture Capital Creates New Wealth, Boston: Harvard Business School Press. </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proofErr w:type="spellStart"/>
      <w:r w:rsidRPr="00A7624F">
        <w:rPr>
          <w:rFonts w:ascii="Times New Roman" w:hAnsi="Times New Roman"/>
          <w:sz w:val="24"/>
          <w:szCs w:val="24"/>
        </w:rPr>
        <w:t>Hardymon</w:t>
      </w:r>
      <w:proofErr w:type="spellEnd"/>
      <w:r w:rsidRPr="00A7624F">
        <w:rPr>
          <w:rFonts w:ascii="Times New Roman" w:hAnsi="Times New Roman"/>
          <w:sz w:val="24"/>
          <w:szCs w:val="24"/>
        </w:rPr>
        <w:t xml:space="preserve">, G.F., </w:t>
      </w:r>
      <w:proofErr w:type="spellStart"/>
      <w:r w:rsidRPr="00A7624F">
        <w:rPr>
          <w:rFonts w:ascii="Times New Roman" w:hAnsi="Times New Roman"/>
          <w:sz w:val="24"/>
          <w:szCs w:val="24"/>
        </w:rPr>
        <w:t>DeNino</w:t>
      </w:r>
      <w:proofErr w:type="spellEnd"/>
      <w:r w:rsidRPr="00A7624F">
        <w:rPr>
          <w:rFonts w:ascii="Times New Roman" w:hAnsi="Times New Roman"/>
          <w:sz w:val="24"/>
          <w:szCs w:val="24"/>
        </w:rPr>
        <w:t>, M.J. &amp; Salter, M.S. 1983.  When corporate venture capital doesn’t work.  Harvard Business Review, 61/3: 114-120.</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autoSpaceDE w:val="0"/>
        <w:autoSpaceDN w:val="0"/>
        <w:adjustRightInd w:val="0"/>
        <w:spacing w:after="0" w:line="240" w:lineRule="auto"/>
        <w:ind w:left="720" w:hanging="720"/>
        <w:rPr>
          <w:rFonts w:ascii="Times New Roman" w:hAnsi="Times New Roman"/>
          <w:sz w:val="24"/>
          <w:szCs w:val="24"/>
        </w:rPr>
      </w:pPr>
      <w:r w:rsidRPr="00A7624F">
        <w:rPr>
          <w:rFonts w:ascii="Times New Roman" w:hAnsi="Times New Roman"/>
          <w:sz w:val="24"/>
          <w:szCs w:val="24"/>
        </w:rPr>
        <w:t>Higgins, M., Rodriguez, D., 2006. The outsourcing of R&amp;D through acquisitions in the pharmaceutical industry. Journal of Financial Economics 80, 351–383.</w:t>
      </w:r>
    </w:p>
    <w:p w:rsidR="00D41979" w:rsidRPr="00A7624F" w:rsidRDefault="00D41979" w:rsidP="0092044C">
      <w:pPr>
        <w:tabs>
          <w:tab w:val="left" w:pos="720"/>
        </w:tabs>
        <w:autoSpaceDE w:val="0"/>
        <w:autoSpaceDN w:val="0"/>
        <w:adjustRightInd w:val="0"/>
        <w:spacing w:after="0" w:line="240" w:lineRule="auto"/>
        <w:ind w:left="720" w:hanging="720"/>
        <w:rPr>
          <w:rFonts w:ascii="Times New Roman" w:hAnsi="Times New Roman"/>
          <w:sz w:val="24"/>
          <w:szCs w:val="24"/>
        </w:rPr>
      </w:pPr>
      <w:r w:rsidRPr="00A7624F">
        <w:rPr>
          <w:rFonts w:ascii="Times New Roman" w:hAnsi="Times New Roman"/>
          <w:sz w:val="24"/>
          <w:szCs w:val="24"/>
        </w:rPr>
        <w:lastRenderedPageBreak/>
        <w:t>H</w:t>
      </w:r>
      <w:r w:rsidR="00BD30C1">
        <w:rPr>
          <w:rFonts w:ascii="Times New Roman" w:hAnsi="Times New Roman"/>
          <w:sz w:val="24"/>
          <w:szCs w:val="24"/>
        </w:rPr>
        <w:t xml:space="preserve">ill SA, </w:t>
      </w:r>
      <w:proofErr w:type="spellStart"/>
      <w:r w:rsidR="00BD30C1">
        <w:rPr>
          <w:rFonts w:ascii="Times New Roman" w:hAnsi="Times New Roman"/>
          <w:sz w:val="24"/>
          <w:szCs w:val="24"/>
        </w:rPr>
        <w:t>Maula</w:t>
      </w:r>
      <w:proofErr w:type="spellEnd"/>
      <w:r w:rsidR="00BD30C1">
        <w:rPr>
          <w:rFonts w:ascii="Times New Roman" w:hAnsi="Times New Roman"/>
          <w:sz w:val="24"/>
          <w:szCs w:val="24"/>
        </w:rPr>
        <w:t xml:space="preserve"> M, </w:t>
      </w:r>
      <w:proofErr w:type="spellStart"/>
      <w:r w:rsidR="00BD30C1">
        <w:rPr>
          <w:rFonts w:ascii="Times New Roman" w:hAnsi="Times New Roman"/>
          <w:sz w:val="24"/>
          <w:szCs w:val="24"/>
        </w:rPr>
        <w:t>Birkinshaw</w:t>
      </w:r>
      <w:proofErr w:type="spellEnd"/>
      <w:r w:rsidR="00BD30C1">
        <w:rPr>
          <w:rFonts w:ascii="Times New Roman" w:hAnsi="Times New Roman"/>
          <w:sz w:val="24"/>
          <w:szCs w:val="24"/>
        </w:rPr>
        <w:t xml:space="preserve"> J, </w:t>
      </w:r>
      <w:r w:rsidRPr="00A7624F">
        <w:rPr>
          <w:rFonts w:ascii="Times New Roman" w:hAnsi="Times New Roman"/>
          <w:sz w:val="24"/>
          <w:szCs w:val="24"/>
        </w:rPr>
        <w:t xml:space="preserve">Murray G. 2009. Transferability of the venture capital model to the corporate context: Implications for the performance of corporate venture units. Strategic Entrepreneurship Journal 3: 3-27. </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r w:rsidRPr="00A7624F">
        <w:rPr>
          <w:rFonts w:ascii="Times New Roman" w:hAnsi="Times New Roman"/>
          <w:sz w:val="24"/>
          <w:szCs w:val="24"/>
        </w:rPr>
        <w:t>Hurry, D., Miller, D. &amp; Bowman, E. 1992.  Calls on high-technology: Japanese exploration of venture capital investments in the United States.  Strategic Management Journal, 13: 85-101.</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r w:rsidRPr="00A7624F">
        <w:rPr>
          <w:rFonts w:ascii="Times New Roman" w:hAnsi="Times New Roman"/>
          <w:sz w:val="24"/>
          <w:szCs w:val="24"/>
        </w:rPr>
        <w:t xml:space="preserve">Ivanov, V. I., &amp; Xie, F. 2010. Do Corporate Venture Capitalists Add Value to Start-Up Firms? Evidence from IPOs and Acquisitions of VC-Backed Companies. </w:t>
      </w:r>
      <w:proofErr w:type="gramStart"/>
      <w:r w:rsidRPr="00A7624F">
        <w:rPr>
          <w:rFonts w:ascii="Times New Roman" w:hAnsi="Times New Roman"/>
          <w:sz w:val="24"/>
          <w:szCs w:val="24"/>
        </w:rPr>
        <w:t>Financial Management</w:t>
      </w:r>
      <w:proofErr w:type="gramEnd"/>
      <w:r w:rsidRPr="00A7624F">
        <w:rPr>
          <w:rFonts w:ascii="Times New Roman" w:hAnsi="Times New Roman"/>
          <w:sz w:val="24"/>
          <w:szCs w:val="24"/>
        </w:rPr>
        <w:t xml:space="preserve">, 39(1), 129-152. </w:t>
      </w:r>
      <w:bookmarkEnd w:id="1"/>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bookmarkStart w:id="2" w:name="_ENREF_2"/>
      <w:r w:rsidRPr="00A7624F">
        <w:rPr>
          <w:rFonts w:ascii="Times New Roman" w:hAnsi="Times New Roman"/>
          <w:sz w:val="24"/>
          <w:szCs w:val="24"/>
        </w:rPr>
        <w:t xml:space="preserve">Katila, R., Rosenberger, J. D., &amp; Eisenhardt, K. M. 2008. Swimming with Sharks: Technology Ventures, Defense Mechanisms and Corporate Relationships. Administrative Science Quarterly, 53(2), 295-332. </w:t>
      </w:r>
      <w:bookmarkEnd w:id="2"/>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proofErr w:type="spellStart"/>
      <w:r w:rsidRPr="00A7624F">
        <w:rPr>
          <w:rFonts w:ascii="Times New Roman" w:hAnsi="Times New Roman"/>
          <w:sz w:val="24"/>
          <w:szCs w:val="24"/>
        </w:rPr>
        <w:t>Keil</w:t>
      </w:r>
      <w:proofErr w:type="spellEnd"/>
      <w:r w:rsidRPr="00A7624F">
        <w:rPr>
          <w:rFonts w:ascii="Times New Roman" w:hAnsi="Times New Roman"/>
          <w:sz w:val="24"/>
          <w:szCs w:val="24"/>
        </w:rPr>
        <w:t xml:space="preserve">, T. 2000.  External corporate venturing: Cognition, speed and capability </w:t>
      </w:r>
      <w:proofErr w:type="gramStart"/>
      <w:r w:rsidRPr="00A7624F">
        <w:rPr>
          <w:rFonts w:ascii="Times New Roman" w:hAnsi="Times New Roman"/>
          <w:sz w:val="24"/>
          <w:szCs w:val="24"/>
        </w:rPr>
        <w:t>development..</w:t>
      </w:r>
      <w:proofErr w:type="gramEnd"/>
      <w:r w:rsidRPr="00A7624F">
        <w:rPr>
          <w:rFonts w:ascii="Times New Roman" w:hAnsi="Times New Roman"/>
          <w:sz w:val="24"/>
          <w:szCs w:val="24"/>
        </w:rPr>
        <w:t xml:space="preserve">  Doctoral dissertation, Institute of Strategy and International Business, Helsinki University of Technology.</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bookmarkStart w:id="3" w:name="_ENREF_3"/>
      <w:r w:rsidRPr="00A7624F">
        <w:rPr>
          <w:rFonts w:ascii="Times New Roman" w:hAnsi="Times New Roman"/>
          <w:sz w:val="24"/>
          <w:szCs w:val="24"/>
        </w:rPr>
        <w:t xml:space="preserve">Lee, S. U., &amp; Kang, J. 2015. Technological Diversification Through Corporate Venture Capital Investments: Creating </w:t>
      </w:r>
      <w:proofErr w:type="gramStart"/>
      <w:r w:rsidRPr="00A7624F">
        <w:rPr>
          <w:rFonts w:ascii="Times New Roman" w:hAnsi="Times New Roman"/>
          <w:sz w:val="24"/>
          <w:szCs w:val="24"/>
        </w:rPr>
        <w:t>Various Options</w:t>
      </w:r>
      <w:proofErr w:type="gramEnd"/>
      <w:r w:rsidRPr="00A7624F">
        <w:rPr>
          <w:rFonts w:ascii="Times New Roman" w:hAnsi="Times New Roman"/>
          <w:sz w:val="24"/>
          <w:szCs w:val="24"/>
        </w:rPr>
        <w:t xml:space="preserve"> to Strengthen Dynamic Capabilities. Industry &amp; Innovation, 22(5), 349-374. </w:t>
      </w:r>
      <w:bookmarkStart w:id="4" w:name="_ENREF_44"/>
      <w:bookmarkEnd w:id="3"/>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proofErr w:type="spellStart"/>
      <w:r w:rsidRPr="00A7624F">
        <w:rPr>
          <w:rFonts w:ascii="Times New Roman" w:hAnsi="Times New Roman"/>
          <w:sz w:val="24"/>
          <w:szCs w:val="24"/>
        </w:rPr>
        <w:t>Makri</w:t>
      </w:r>
      <w:proofErr w:type="spellEnd"/>
      <w:r w:rsidRPr="00A7624F">
        <w:rPr>
          <w:rFonts w:ascii="Times New Roman" w:hAnsi="Times New Roman"/>
          <w:sz w:val="24"/>
          <w:szCs w:val="24"/>
        </w:rPr>
        <w:t xml:space="preserve">, M., </w:t>
      </w:r>
      <w:proofErr w:type="spellStart"/>
      <w:r w:rsidRPr="00A7624F">
        <w:rPr>
          <w:rFonts w:ascii="Times New Roman" w:hAnsi="Times New Roman"/>
          <w:sz w:val="24"/>
          <w:szCs w:val="24"/>
        </w:rPr>
        <w:t>Hitt</w:t>
      </w:r>
      <w:proofErr w:type="spellEnd"/>
      <w:r w:rsidRPr="00A7624F">
        <w:rPr>
          <w:rFonts w:ascii="Times New Roman" w:hAnsi="Times New Roman"/>
          <w:sz w:val="24"/>
          <w:szCs w:val="24"/>
        </w:rPr>
        <w:t>, M. A., &amp; Lane, P. J. 2010. Complementary technologies, knowledge relatedness, and invention outcomes in high technology mergers and acquisitions. Strategic Management Journal, 31(6): 602-628.</w:t>
      </w:r>
      <w:bookmarkEnd w:id="4"/>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pStyle w:val="EndNoteBibliography"/>
        <w:spacing w:after="0"/>
        <w:ind w:left="720" w:hanging="720"/>
        <w:rPr>
          <w:rFonts w:ascii="Times New Roman" w:hAnsi="Times New Roman"/>
          <w:sz w:val="24"/>
          <w:szCs w:val="24"/>
        </w:rPr>
      </w:pPr>
      <w:bookmarkStart w:id="5" w:name="_ENREF_21"/>
      <w:r w:rsidRPr="00A7624F">
        <w:rPr>
          <w:rFonts w:ascii="Times New Roman" w:hAnsi="Times New Roman"/>
          <w:sz w:val="24"/>
          <w:szCs w:val="24"/>
        </w:rPr>
        <w:t>Makri, M., Hitt, M. A., &amp; Lane, P. J. 2010. Complementary Technologies, Knowledge Relatedness, And Invention Outcomes In High Technology Mergers And Acquisitions. Strategic Management Journal, 31(6): 602-628.</w:t>
      </w:r>
      <w:bookmarkEnd w:id="5"/>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proofErr w:type="spellStart"/>
      <w:r w:rsidRPr="00A7624F">
        <w:rPr>
          <w:rFonts w:ascii="Times New Roman" w:hAnsi="Times New Roman"/>
          <w:sz w:val="24"/>
          <w:szCs w:val="24"/>
        </w:rPr>
        <w:t>Maula</w:t>
      </w:r>
      <w:proofErr w:type="spellEnd"/>
      <w:r w:rsidRPr="00A7624F">
        <w:rPr>
          <w:rFonts w:ascii="Times New Roman" w:hAnsi="Times New Roman"/>
          <w:sz w:val="24"/>
          <w:szCs w:val="24"/>
        </w:rPr>
        <w:t>, M. 2001. Corporate venture capital and the value-added for technology-based new firms.  Doctoral dissertation, Institute of Strategy and International Business, Helsinki University of Technology.</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proofErr w:type="spellStart"/>
      <w:r w:rsidRPr="00A7624F">
        <w:rPr>
          <w:rFonts w:ascii="Times New Roman" w:hAnsi="Times New Roman"/>
          <w:sz w:val="24"/>
          <w:szCs w:val="24"/>
        </w:rPr>
        <w:t>Maula</w:t>
      </w:r>
      <w:proofErr w:type="spellEnd"/>
      <w:r w:rsidRPr="00A7624F">
        <w:rPr>
          <w:rFonts w:ascii="Times New Roman" w:hAnsi="Times New Roman"/>
          <w:sz w:val="24"/>
          <w:szCs w:val="24"/>
        </w:rPr>
        <w:t xml:space="preserve">, M., Murray, G., 2002. Corporate venture capital and the creation of U.S. public companies: the impact of sources of venture capital on the performance of portfolio companies. In: </w:t>
      </w:r>
      <w:proofErr w:type="spellStart"/>
      <w:r w:rsidRPr="00A7624F">
        <w:rPr>
          <w:rFonts w:ascii="Times New Roman" w:hAnsi="Times New Roman"/>
          <w:sz w:val="24"/>
          <w:szCs w:val="24"/>
        </w:rPr>
        <w:t>Hitt</w:t>
      </w:r>
      <w:proofErr w:type="spellEnd"/>
      <w:r w:rsidRPr="00A7624F">
        <w:rPr>
          <w:rFonts w:ascii="Times New Roman" w:hAnsi="Times New Roman"/>
          <w:sz w:val="24"/>
          <w:szCs w:val="24"/>
        </w:rPr>
        <w:t>, M.A., Amit, R., Lucier, C., Nixon, R.D. (Eds.), Creating Value: Winners in the New Business Environment. Blackwell Publishers, Oxford, pp. 164–187.</w:t>
      </w:r>
      <w:bookmarkStart w:id="6" w:name="_ENREF_45"/>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proofErr w:type="spellStart"/>
      <w:r w:rsidRPr="00A7624F">
        <w:rPr>
          <w:rFonts w:ascii="Times New Roman" w:hAnsi="Times New Roman"/>
          <w:sz w:val="24"/>
          <w:szCs w:val="24"/>
        </w:rPr>
        <w:t>Maula</w:t>
      </w:r>
      <w:proofErr w:type="spellEnd"/>
      <w:r w:rsidRPr="00A7624F">
        <w:rPr>
          <w:rFonts w:ascii="Times New Roman" w:hAnsi="Times New Roman"/>
          <w:sz w:val="24"/>
          <w:szCs w:val="24"/>
        </w:rPr>
        <w:t xml:space="preserve">, M. V. J., </w:t>
      </w:r>
      <w:proofErr w:type="spellStart"/>
      <w:r w:rsidRPr="00A7624F">
        <w:rPr>
          <w:rFonts w:ascii="Times New Roman" w:hAnsi="Times New Roman"/>
          <w:sz w:val="24"/>
          <w:szCs w:val="24"/>
        </w:rPr>
        <w:t>Autio</w:t>
      </w:r>
      <w:proofErr w:type="spellEnd"/>
      <w:r w:rsidRPr="00A7624F">
        <w:rPr>
          <w:rFonts w:ascii="Times New Roman" w:hAnsi="Times New Roman"/>
          <w:sz w:val="24"/>
          <w:szCs w:val="24"/>
        </w:rPr>
        <w:t>, E., &amp; Murray, G. C. 2009. Corporate venture capital and the balance of risks and rewards for portfolio companies. Journal of Business Venturing 24: 274-286.</w:t>
      </w:r>
      <w:bookmarkEnd w:id="6"/>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pStyle w:val="EndNoteBibliography"/>
        <w:spacing w:after="0"/>
        <w:ind w:left="720" w:hanging="720"/>
        <w:rPr>
          <w:rFonts w:ascii="Times New Roman" w:hAnsi="Times New Roman"/>
          <w:noProof w:val="0"/>
          <w:sz w:val="24"/>
          <w:szCs w:val="24"/>
        </w:rPr>
      </w:pPr>
      <w:proofErr w:type="spellStart"/>
      <w:r w:rsidRPr="00A7624F">
        <w:rPr>
          <w:rFonts w:ascii="Times New Roman" w:hAnsi="Times New Roman"/>
          <w:noProof w:val="0"/>
          <w:sz w:val="24"/>
          <w:szCs w:val="24"/>
        </w:rPr>
        <w:lastRenderedPageBreak/>
        <w:t>Maula</w:t>
      </w:r>
      <w:proofErr w:type="spellEnd"/>
      <w:r w:rsidRPr="00A7624F">
        <w:rPr>
          <w:rFonts w:ascii="Times New Roman" w:hAnsi="Times New Roman"/>
          <w:noProof w:val="0"/>
          <w:sz w:val="24"/>
          <w:szCs w:val="24"/>
        </w:rPr>
        <w:t xml:space="preserve">, M. V. J., </w:t>
      </w:r>
      <w:proofErr w:type="spellStart"/>
      <w:r w:rsidRPr="00A7624F">
        <w:rPr>
          <w:rFonts w:ascii="Times New Roman" w:hAnsi="Times New Roman"/>
          <w:noProof w:val="0"/>
          <w:sz w:val="24"/>
          <w:szCs w:val="24"/>
        </w:rPr>
        <w:t>Keil</w:t>
      </w:r>
      <w:proofErr w:type="spellEnd"/>
      <w:r w:rsidRPr="00A7624F">
        <w:rPr>
          <w:rFonts w:ascii="Times New Roman" w:hAnsi="Times New Roman"/>
          <w:noProof w:val="0"/>
          <w:sz w:val="24"/>
          <w:szCs w:val="24"/>
        </w:rPr>
        <w:t>, T., &amp; Zahra, S. A. 2013. Top management's attention to discontinuous technological change: corporate venture capital as an alert mechanism. Organization science, 24(3): 926-947.</w:t>
      </w:r>
    </w:p>
    <w:p w:rsidR="00D41979" w:rsidRPr="00A7624F" w:rsidRDefault="00D41979" w:rsidP="0092044C">
      <w:pPr>
        <w:pStyle w:val="EndNoteBibliography"/>
        <w:spacing w:after="0"/>
        <w:ind w:left="720" w:hanging="720"/>
        <w:rPr>
          <w:rFonts w:ascii="Times New Roman" w:hAnsi="Times New Roman"/>
          <w:noProof w:val="0"/>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r w:rsidRPr="00A7624F">
        <w:rPr>
          <w:rFonts w:ascii="Times New Roman" w:hAnsi="Times New Roman"/>
          <w:sz w:val="24"/>
          <w:szCs w:val="24"/>
        </w:rPr>
        <w:t xml:space="preserve">Moeller, S.B., </w:t>
      </w:r>
      <w:proofErr w:type="spellStart"/>
      <w:r w:rsidRPr="00A7624F">
        <w:rPr>
          <w:rFonts w:ascii="Times New Roman" w:hAnsi="Times New Roman"/>
          <w:sz w:val="24"/>
          <w:szCs w:val="24"/>
        </w:rPr>
        <w:t>Schlingemann</w:t>
      </w:r>
      <w:proofErr w:type="spellEnd"/>
      <w:r w:rsidRPr="00A7624F">
        <w:rPr>
          <w:rFonts w:ascii="Times New Roman" w:hAnsi="Times New Roman"/>
          <w:sz w:val="24"/>
          <w:szCs w:val="24"/>
        </w:rPr>
        <w:t xml:space="preserve">, F.P., </w:t>
      </w:r>
      <w:proofErr w:type="spellStart"/>
      <w:r w:rsidRPr="00A7624F">
        <w:rPr>
          <w:rFonts w:ascii="Times New Roman" w:hAnsi="Times New Roman"/>
          <w:sz w:val="24"/>
          <w:szCs w:val="24"/>
        </w:rPr>
        <w:t>Stulz</w:t>
      </w:r>
      <w:proofErr w:type="spellEnd"/>
      <w:r w:rsidRPr="00A7624F">
        <w:rPr>
          <w:rFonts w:ascii="Times New Roman" w:hAnsi="Times New Roman"/>
          <w:sz w:val="24"/>
          <w:szCs w:val="24"/>
        </w:rPr>
        <w:t>, R.M., 2004. Firm size and the gains from acquisitions. Journal of Financial Economics 73, 201–228.</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spacing w:after="0" w:line="240" w:lineRule="auto"/>
        <w:ind w:left="720" w:hanging="720"/>
        <w:rPr>
          <w:rFonts w:ascii="Times New Roman" w:hAnsi="Times New Roman"/>
          <w:sz w:val="24"/>
          <w:szCs w:val="24"/>
        </w:rPr>
      </w:pPr>
      <w:bookmarkStart w:id="7" w:name="_ENREF_49"/>
      <w:r w:rsidRPr="00A7624F">
        <w:rPr>
          <w:rFonts w:ascii="Times New Roman" w:hAnsi="Times New Roman"/>
          <w:sz w:val="24"/>
          <w:szCs w:val="24"/>
        </w:rPr>
        <w:t xml:space="preserve">Park, H. D., &amp; </w:t>
      </w:r>
      <w:proofErr w:type="spellStart"/>
      <w:r w:rsidRPr="00A7624F">
        <w:rPr>
          <w:rFonts w:ascii="Times New Roman" w:hAnsi="Times New Roman"/>
          <w:sz w:val="24"/>
          <w:szCs w:val="24"/>
        </w:rPr>
        <w:t>Steensma</w:t>
      </w:r>
      <w:proofErr w:type="spellEnd"/>
      <w:r w:rsidRPr="00A7624F">
        <w:rPr>
          <w:rFonts w:ascii="Times New Roman" w:hAnsi="Times New Roman"/>
          <w:sz w:val="24"/>
          <w:szCs w:val="24"/>
        </w:rPr>
        <w:t>, H. K. 2012. When does corporate venture capital add value for new ventures? Strategic Management Journal, 33(1), 1-22.</w:t>
      </w:r>
      <w:bookmarkEnd w:id="7"/>
    </w:p>
    <w:p w:rsidR="00D41979" w:rsidRPr="00A7624F" w:rsidRDefault="00D41979" w:rsidP="0092044C">
      <w:pPr>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proofErr w:type="spellStart"/>
      <w:r w:rsidRPr="00A7624F">
        <w:rPr>
          <w:rFonts w:ascii="Times New Roman" w:hAnsi="Times New Roman"/>
          <w:sz w:val="24"/>
          <w:szCs w:val="24"/>
        </w:rPr>
        <w:t>Ransbotham</w:t>
      </w:r>
      <w:proofErr w:type="spellEnd"/>
      <w:r w:rsidRPr="00A7624F">
        <w:rPr>
          <w:rFonts w:ascii="Times New Roman" w:hAnsi="Times New Roman"/>
          <w:sz w:val="24"/>
          <w:szCs w:val="24"/>
        </w:rPr>
        <w:t xml:space="preserve">, S. &amp; </w:t>
      </w:r>
      <w:proofErr w:type="spellStart"/>
      <w:r w:rsidRPr="00A7624F">
        <w:rPr>
          <w:rFonts w:ascii="Times New Roman" w:hAnsi="Times New Roman"/>
          <w:sz w:val="24"/>
          <w:szCs w:val="24"/>
        </w:rPr>
        <w:t>Sabyasachi</w:t>
      </w:r>
      <w:proofErr w:type="spellEnd"/>
      <w:r w:rsidRPr="00A7624F">
        <w:rPr>
          <w:rFonts w:ascii="Times New Roman" w:hAnsi="Times New Roman"/>
          <w:sz w:val="24"/>
          <w:szCs w:val="24"/>
        </w:rPr>
        <w:t xml:space="preserve"> M. 2010. Target age and the acquisition of innovation in high-technology industry. Management Science, 56/11, 2076-2093. </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proofErr w:type="spellStart"/>
      <w:r w:rsidRPr="00A7624F">
        <w:rPr>
          <w:rFonts w:ascii="Times New Roman" w:hAnsi="Times New Roman"/>
          <w:sz w:val="24"/>
          <w:szCs w:val="24"/>
        </w:rPr>
        <w:t>Sahaym</w:t>
      </w:r>
      <w:proofErr w:type="spellEnd"/>
      <w:r w:rsidRPr="00A7624F">
        <w:rPr>
          <w:rFonts w:ascii="Times New Roman" w:hAnsi="Times New Roman"/>
          <w:sz w:val="24"/>
          <w:szCs w:val="24"/>
        </w:rPr>
        <w:t xml:space="preserve"> A, </w:t>
      </w:r>
      <w:proofErr w:type="spellStart"/>
      <w:r w:rsidRPr="00A7624F">
        <w:rPr>
          <w:rFonts w:ascii="Times New Roman" w:hAnsi="Times New Roman"/>
          <w:sz w:val="24"/>
          <w:szCs w:val="24"/>
        </w:rPr>
        <w:t>Steensma</w:t>
      </w:r>
      <w:proofErr w:type="spellEnd"/>
      <w:r w:rsidRPr="00A7624F">
        <w:rPr>
          <w:rFonts w:ascii="Times New Roman" w:hAnsi="Times New Roman"/>
          <w:sz w:val="24"/>
          <w:szCs w:val="24"/>
        </w:rPr>
        <w:t xml:space="preserve"> HK, Barden JQ. 2010. The influence of R&amp;D investment on the corporate venture capital: An industry-level analysis. Journal of Business Venturing 25, 376-388.</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proofErr w:type="spellStart"/>
      <w:r w:rsidRPr="00A7624F">
        <w:rPr>
          <w:rFonts w:ascii="Times New Roman" w:hAnsi="Times New Roman"/>
          <w:sz w:val="24"/>
          <w:szCs w:val="24"/>
        </w:rPr>
        <w:t>Schildt</w:t>
      </w:r>
      <w:proofErr w:type="spellEnd"/>
      <w:r w:rsidRPr="00A7624F">
        <w:rPr>
          <w:rFonts w:ascii="Times New Roman" w:hAnsi="Times New Roman"/>
          <w:sz w:val="24"/>
          <w:szCs w:val="24"/>
        </w:rPr>
        <w:t xml:space="preserve"> H, </w:t>
      </w:r>
      <w:proofErr w:type="spellStart"/>
      <w:r w:rsidRPr="00A7624F">
        <w:rPr>
          <w:rFonts w:ascii="Times New Roman" w:hAnsi="Times New Roman"/>
          <w:sz w:val="24"/>
          <w:szCs w:val="24"/>
        </w:rPr>
        <w:t>Maula</w:t>
      </w:r>
      <w:proofErr w:type="spellEnd"/>
      <w:r w:rsidRPr="00A7624F">
        <w:rPr>
          <w:rFonts w:ascii="Times New Roman" w:hAnsi="Times New Roman"/>
          <w:sz w:val="24"/>
          <w:szCs w:val="24"/>
        </w:rPr>
        <w:t xml:space="preserve"> M, </w:t>
      </w:r>
      <w:proofErr w:type="spellStart"/>
      <w:r w:rsidRPr="00A7624F">
        <w:rPr>
          <w:rFonts w:ascii="Times New Roman" w:hAnsi="Times New Roman"/>
          <w:sz w:val="24"/>
          <w:szCs w:val="24"/>
        </w:rPr>
        <w:t>Keil</w:t>
      </w:r>
      <w:proofErr w:type="spellEnd"/>
      <w:r w:rsidRPr="00A7624F">
        <w:rPr>
          <w:rFonts w:ascii="Times New Roman" w:hAnsi="Times New Roman"/>
          <w:sz w:val="24"/>
          <w:szCs w:val="24"/>
        </w:rPr>
        <w:t xml:space="preserve"> T. 2005. Explorative and Exploitative Learning from External Corporate Ventures. </w:t>
      </w:r>
      <w:hyperlink r:id="rId7" w:history="1">
        <w:r w:rsidRPr="00A7624F">
          <w:rPr>
            <w:rFonts w:ascii="Times New Roman" w:hAnsi="Times New Roman"/>
            <w:sz w:val="24"/>
            <w:szCs w:val="24"/>
          </w:rPr>
          <w:t>Entrepreneurship Theory &amp; Practice</w:t>
        </w:r>
      </w:hyperlink>
      <w:r w:rsidRPr="00A7624F">
        <w:rPr>
          <w:rFonts w:ascii="Times New Roman" w:hAnsi="Times New Roman"/>
          <w:sz w:val="24"/>
          <w:szCs w:val="24"/>
        </w:rPr>
        <w:t xml:space="preserve"> 29(4): 493-515.</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r w:rsidRPr="00A7624F">
        <w:rPr>
          <w:rFonts w:ascii="Times New Roman" w:hAnsi="Times New Roman"/>
          <w:sz w:val="24"/>
          <w:szCs w:val="24"/>
        </w:rPr>
        <w:t>Stuart, T., Hoang, H., Hybels, R., 1999. Interorganizational endorsements and the performance of entrepreneurial ventures. Administrative Science Quarterly 44, 315–349.</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r w:rsidRPr="00A7624F">
        <w:rPr>
          <w:rFonts w:ascii="Times New Roman" w:hAnsi="Times New Roman"/>
          <w:sz w:val="24"/>
          <w:szCs w:val="24"/>
        </w:rPr>
        <w:t>Thaler, R.H., 1988. Anomalies: the winner’s curse. Journal of Economic Perspectives 2, 191–202.</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r w:rsidRPr="00A7624F">
        <w:rPr>
          <w:rFonts w:ascii="Times New Roman" w:hAnsi="Times New Roman"/>
          <w:sz w:val="24"/>
          <w:szCs w:val="24"/>
        </w:rPr>
        <w:t>Tong, T. &amp; Li, Y. 2010. Real options and investment mode: Evidence from corporate venture capital and acquisition. Organization Science, 22/3, 659-674.</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800AE3" w:rsidRDefault="00800AE3" w:rsidP="0092044C">
      <w:pPr>
        <w:tabs>
          <w:tab w:val="left" w:pos="720"/>
        </w:tabs>
        <w:spacing w:after="0" w:line="240" w:lineRule="auto"/>
        <w:ind w:left="720" w:hanging="720"/>
        <w:rPr>
          <w:rFonts w:ascii="Times New Roman" w:hAnsi="Times New Roman"/>
          <w:sz w:val="24"/>
          <w:szCs w:val="24"/>
        </w:rPr>
      </w:pPr>
      <w:bookmarkStart w:id="8" w:name="_Hlk485074099"/>
      <w:bookmarkStart w:id="9" w:name="_ENREF_4"/>
      <w:r>
        <w:rPr>
          <w:rFonts w:ascii="Times New Roman" w:hAnsi="Times New Roman"/>
          <w:sz w:val="24"/>
          <w:szCs w:val="24"/>
        </w:rPr>
        <w:t xml:space="preserve">Van de </w:t>
      </w:r>
      <w:proofErr w:type="spellStart"/>
      <w:r>
        <w:rPr>
          <w:rFonts w:ascii="Times New Roman" w:hAnsi="Times New Roman"/>
          <w:sz w:val="24"/>
          <w:szCs w:val="24"/>
        </w:rPr>
        <w:t>Vrande</w:t>
      </w:r>
      <w:proofErr w:type="spellEnd"/>
      <w:r>
        <w:rPr>
          <w:rFonts w:ascii="Times New Roman" w:hAnsi="Times New Roman"/>
          <w:sz w:val="24"/>
          <w:szCs w:val="24"/>
        </w:rPr>
        <w:t xml:space="preserve">, V. &amp; </w:t>
      </w:r>
      <w:proofErr w:type="spellStart"/>
      <w:r>
        <w:rPr>
          <w:rFonts w:ascii="Times New Roman" w:hAnsi="Times New Roman"/>
          <w:sz w:val="24"/>
          <w:szCs w:val="24"/>
        </w:rPr>
        <w:t>Vanhaverbeke</w:t>
      </w:r>
      <w:proofErr w:type="spellEnd"/>
      <w:r>
        <w:rPr>
          <w:rFonts w:ascii="Times New Roman" w:hAnsi="Times New Roman"/>
          <w:sz w:val="24"/>
          <w:szCs w:val="24"/>
        </w:rPr>
        <w:t xml:space="preserve">, W. 2013. How Prior Corporate Venture Capital Investments Shape Technological Alliances: A real options approach.  Entrepreneurship Theory &amp; Practice, </w:t>
      </w:r>
      <w:bookmarkEnd w:id="8"/>
    </w:p>
    <w:p w:rsidR="00800AE3" w:rsidRDefault="00800AE3"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r w:rsidRPr="00A7624F">
        <w:rPr>
          <w:rFonts w:ascii="Times New Roman" w:hAnsi="Times New Roman"/>
          <w:sz w:val="24"/>
          <w:szCs w:val="24"/>
        </w:rPr>
        <w:t xml:space="preserve">Wadhwa, A., Phelps, C., &amp; </w:t>
      </w:r>
      <w:proofErr w:type="spellStart"/>
      <w:r w:rsidRPr="00A7624F">
        <w:rPr>
          <w:rFonts w:ascii="Times New Roman" w:hAnsi="Times New Roman"/>
          <w:sz w:val="24"/>
          <w:szCs w:val="24"/>
        </w:rPr>
        <w:t>Kotha</w:t>
      </w:r>
      <w:proofErr w:type="spellEnd"/>
      <w:r w:rsidRPr="00A7624F">
        <w:rPr>
          <w:rFonts w:ascii="Times New Roman" w:hAnsi="Times New Roman"/>
          <w:sz w:val="24"/>
          <w:szCs w:val="24"/>
        </w:rPr>
        <w:t xml:space="preserve">, S. 2016. Corporate venture capital portfolios and firm innovation. Journal of Business Venturing, 31(1), 95-112. </w:t>
      </w:r>
      <w:bookmarkEnd w:id="9"/>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r w:rsidRPr="00A7624F">
        <w:rPr>
          <w:rFonts w:ascii="Times New Roman" w:hAnsi="Times New Roman"/>
          <w:sz w:val="24"/>
          <w:szCs w:val="24"/>
        </w:rPr>
        <w:t>Yang Y, Narayanan VK, Zahra S. 2009. Developing the selection and valuation capabilities through learning: The case of corporate venture capital.  Journal of Business Venturing 24: 264-273.</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D41979" w:rsidP="0092044C">
      <w:pPr>
        <w:tabs>
          <w:tab w:val="left" w:pos="720"/>
        </w:tabs>
        <w:spacing w:after="0" w:line="240" w:lineRule="auto"/>
        <w:ind w:left="720" w:hanging="720"/>
        <w:rPr>
          <w:rFonts w:ascii="Times New Roman" w:hAnsi="Times New Roman"/>
          <w:sz w:val="24"/>
          <w:szCs w:val="24"/>
        </w:rPr>
      </w:pPr>
      <w:r w:rsidRPr="00A7624F">
        <w:rPr>
          <w:rFonts w:ascii="Times New Roman" w:hAnsi="Times New Roman"/>
          <w:sz w:val="24"/>
          <w:szCs w:val="24"/>
        </w:rPr>
        <w:t>Yang, Y., Narayanan VK, &amp; Zahra, S., 2014.  The relationship between portfolio diversification and firm value: The evidence from corporate venture capital activity. Strategic Management Journal, 35/13: 1993-2011.</w:t>
      </w:r>
    </w:p>
    <w:p w:rsidR="00D41979" w:rsidRPr="00A7624F" w:rsidRDefault="00D41979" w:rsidP="0092044C">
      <w:pPr>
        <w:tabs>
          <w:tab w:val="left" w:pos="720"/>
        </w:tabs>
        <w:spacing w:after="0" w:line="240" w:lineRule="auto"/>
        <w:ind w:left="720" w:hanging="720"/>
        <w:rPr>
          <w:rFonts w:ascii="Times New Roman" w:hAnsi="Times New Roman"/>
          <w:sz w:val="24"/>
          <w:szCs w:val="24"/>
        </w:rPr>
      </w:pPr>
    </w:p>
    <w:p w:rsidR="00D41979" w:rsidRPr="00A7624F" w:rsidRDefault="00167D90" w:rsidP="0092044C">
      <w:pPr>
        <w:tabs>
          <w:tab w:val="left" w:pos="720"/>
        </w:tabs>
        <w:spacing w:after="0" w:line="240" w:lineRule="auto"/>
        <w:ind w:left="720" w:hanging="720"/>
        <w:rPr>
          <w:rFonts w:ascii="Times New Roman" w:hAnsi="Times New Roman"/>
          <w:sz w:val="24"/>
          <w:szCs w:val="24"/>
        </w:rPr>
      </w:pPr>
      <w:hyperlink r:id="rId8" w:history="1">
        <w:r w:rsidR="00D41979" w:rsidRPr="00A7624F">
          <w:rPr>
            <w:rFonts w:ascii="Times New Roman" w:hAnsi="Times New Roman"/>
            <w:sz w:val="24"/>
            <w:szCs w:val="24"/>
          </w:rPr>
          <w:t>Zahra SA. 1995. Corporate entrepreneurship and financial performance: the case of management Leveraged buyouts. Journal of Business Venturing 10(3): 225-247.</w:t>
        </w:r>
      </w:hyperlink>
    </w:p>
    <w:p w:rsidR="00D41979" w:rsidRPr="00A7624F" w:rsidRDefault="00D41979" w:rsidP="0092044C">
      <w:pPr>
        <w:pStyle w:val="NoSpacing"/>
        <w:spacing w:line="480" w:lineRule="auto"/>
        <w:ind w:firstLine="720"/>
        <w:rPr>
          <w:sz w:val="24"/>
          <w:szCs w:val="24"/>
        </w:rPr>
      </w:pPr>
    </w:p>
    <w:p w:rsidR="00E472E5" w:rsidRPr="00A7624F" w:rsidRDefault="00E472E5" w:rsidP="00E472E5">
      <w:pPr>
        <w:rPr>
          <w:rFonts w:ascii="Times New Roman" w:hAnsi="Times New Roman"/>
          <w:b/>
          <w:sz w:val="24"/>
          <w:szCs w:val="24"/>
        </w:rPr>
      </w:pPr>
      <w:r w:rsidRPr="00A7624F">
        <w:rPr>
          <w:rFonts w:ascii="Times New Roman" w:hAnsi="Times New Roman"/>
          <w:b/>
          <w:sz w:val="24"/>
          <w:szCs w:val="24"/>
        </w:rPr>
        <w:lastRenderedPageBreak/>
        <w:t>Table 1: Merger Events by Announcement Year</w:t>
      </w:r>
    </w:p>
    <w:tbl>
      <w:tblPr>
        <w:tblW w:w="6390" w:type="dxa"/>
        <w:tblLook w:val="04A0" w:firstRow="1" w:lastRow="0" w:firstColumn="1" w:lastColumn="0" w:noHBand="0" w:noVBand="1"/>
      </w:tblPr>
      <w:tblGrid>
        <w:gridCol w:w="1800"/>
        <w:gridCol w:w="1350"/>
        <w:gridCol w:w="1530"/>
        <w:gridCol w:w="1710"/>
      </w:tblGrid>
      <w:tr w:rsidR="00E472E5" w:rsidRPr="00A7624F" w:rsidTr="000D535F">
        <w:trPr>
          <w:trHeight w:val="300"/>
        </w:trPr>
        <w:tc>
          <w:tcPr>
            <w:tcW w:w="180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Year of Merger</w:t>
            </w:r>
          </w:p>
        </w:tc>
        <w:tc>
          <w:tcPr>
            <w:tcW w:w="135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Total M&amp;As</w:t>
            </w:r>
          </w:p>
        </w:tc>
        <w:tc>
          <w:tcPr>
            <w:tcW w:w="153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Acquisition by CVC Investor</w:t>
            </w:r>
          </w:p>
        </w:tc>
        <w:tc>
          <w:tcPr>
            <w:tcW w:w="171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Acquisition by Third-party</w:t>
            </w:r>
          </w:p>
        </w:tc>
      </w:tr>
      <w:tr w:rsidR="00E472E5" w:rsidRPr="00A7624F" w:rsidTr="000D535F">
        <w:trPr>
          <w:trHeight w:val="300"/>
        </w:trPr>
        <w:tc>
          <w:tcPr>
            <w:tcW w:w="180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1982</w:t>
            </w:r>
          </w:p>
        </w:tc>
        <w:tc>
          <w:tcPr>
            <w:tcW w:w="135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w:t>
            </w:r>
          </w:p>
        </w:tc>
        <w:tc>
          <w:tcPr>
            <w:tcW w:w="153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w:t>
            </w:r>
          </w:p>
        </w:tc>
        <w:tc>
          <w:tcPr>
            <w:tcW w:w="171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1983</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1984</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9</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1986</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5</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1987</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8</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1988</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8</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1989</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1990</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1991</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1992</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5</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5</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1993</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1994</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15</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1995</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11</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11</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1996</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16</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1997</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16</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1998</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35</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33</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1999</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68</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58</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2000</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109</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81</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28</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2001</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67</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61</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2002</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74</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67</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2003</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72</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69</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2004</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107</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99</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8</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2005</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92</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86</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2006</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80</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72</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8</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2007</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69</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66</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2008</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43</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40</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2009</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39</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36</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2010</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74</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69</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5</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2011</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92</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83</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9</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2012</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100</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97</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2013</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72</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70</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w:t>
            </w:r>
          </w:p>
        </w:tc>
      </w:tr>
      <w:tr w:rsidR="00E472E5" w:rsidRPr="00A7624F" w:rsidTr="000D535F">
        <w:trPr>
          <w:trHeight w:val="300"/>
        </w:trPr>
        <w:tc>
          <w:tcPr>
            <w:tcW w:w="18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2014</w:t>
            </w:r>
          </w:p>
        </w:tc>
        <w:tc>
          <w:tcPr>
            <w:tcW w:w="13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103</w:t>
            </w:r>
          </w:p>
        </w:tc>
        <w:tc>
          <w:tcPr>
            <w:tcW w:w="153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99</w:t>
            </w:r>
          </w:p>
        </w:tc>
        <w:tc>
          <w:tcPr>
            <w:tcW w:w="171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w:t>
            </w:r>
          </w:p>
        </w:tc>
      </w:tr>
      <w:tr w:rsidR="00E472E5" w:rsidRPr="00A7624F" w:rsidTr="000D535F">
        <w:trPr>
          <w:trHeight w:val="300"/>
        </w:trPr>
        <w:tc>
          <w:tcPr>
            <w:tcW w:w="180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2015</w:t>
            </w:r>
          </w:p>
        </w:tc>
        <w:tc>
          <w:tcPr>
            <w:tcW w:w="135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48</w:t>
            </w:r>
          </w:p>
        </w:tc>
        <w:tc>
          <w:tcPr>
            <w:tcW w:w="153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45</w:t>
            </w:r>
          </w:p>
        </w:tc>
        <w:tc>
          <w:tcPr>
            <w:tcW w:w="171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w:t>
            </w:r>
          </w:p>
        </w:tc>
      </w:tr>
      <w:tr w:rsidR="00E472E5" w:rsidRPr="00A7624F" w:rsidTr="000D535F">
        <w:trPr>
          <w:trHeight w:val="300"/>
        </w:trPr>
        <w:tc>
          <w:tcPr>
            <w:tcW w:w="180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Total</w:t>
            </w:r>
          </w:p>
        </w:tc>
        <w:tc>
          <w:tcPr>
            <w:tcW w:w="135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1,474</w:t>
            </w:r>
          </w:p>
        </w:tc>
        <w:tc>
          <w:tcPr>
            <w:tcW w:w="153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1,339</w:t>
            </w:r>
          </w:p>
        </w:tc>
        <w:tc>
          <w:tcPr>
            <w:tcW w:w="171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135</w:t>
            </w:r>
          </w:p>
        </w:tc>
      </w:tr>
    </w:tbl>
    <w:p w:rsidR="00E472E5" w:rsidRPr="00A7624F" w:rsidRDefault="00E472E5" w:rsidP="00E472E5">
      <w:pPr>
        <w:rPr>
          <w:rFonts w:ascii="Times New Roman" w:hAnsi="Times New Roman"/>
          <w:sz w:val="24"/>
          <w:szCs w:val="24"/>
        </w:rPr>
      </w:pPr>
    </w:p>
    <w:p w:rsidR="00E472E5" w:rsidRPr="00A7624F" w:rsidRDefault="00E472E5" w:rsidP="00E472E5">
      <w:pPr>
        <w:rPr>
          <w:rFonts w:ascii="Times New Roman" w:hAnsi="Times New Roman"/>
          <w:b/>
          <w:sz w:val="24"/>
          <w:szCs w:val="24"/>
        </w:rPr>
      </w:pPr>
    </w:p>
    <w:p w:rsidR="00E472E5" w:rsidRPr="00A7624F" w:rsidRDefault="00E472E5" w:rsidP="00E472E5">
      <w:pPr>
        <w:rPr>
          <w:rFonts w:ascii="Times New Roman" w:hAnsi="Times New Roman"/>
          <w:b/>
          <w:sz w:val="24"/>
          <w:szCs w:val="24"/>
        </w:rPr>
      </w:pPr>
    </w:p>
    <w:p w:rsidR="00E472E5" w:rsidRPr="00A7624F" w:rsidRDefault="00E472E5" w:rsidP="00E472E5">
      <w:pPr>
        <w:spacing w:after="0" w:line="240" w:lineRule="auto"/>
        <w:jc w:val="center"/>
        <w:rPr>
          <w:rFonts w:ascii="Times New Roman" w:eastAsia="Times New Roman" w:hAnsi="Times New Roman"/>
          <w:b/>
          <w:color w:val="000000"/>
          <w:sz w:val="24"/>
          <w:szCs w:val="24"/>
        </w:rPr>
      </w:pPr>
      <w:r w:rsidRPr="00A7624F">
        <w:rPr>
          <w:rFonts w:ascii="Times New Roman" w:eastAsia="Times New Roman" w:hAnsi="Times New Roman"/>
          <w:b/>
          <w:color w:val="000000"/>
          <w:sz w:val="24"/>
          <w:szCs w:val="24"/>
        </w:rPr>
        <w:lastRenderedPageBreak/>
        <w:t>Figure 1: Merger Events by Announcement Year</w:t>
      </w:r>
    </w:p>
    <w:p w:rsidR="00E472E5" w:rsidRPr="00A7624F" w:rsidRDefault="00E472E5" w:rsidP="00E472E5">
      <w:pPr>
        <w:spacing w:after="0" w:line="240" w:lineRule="auto"/>
        <w:jc w:val="center"/>
        <w:rPr>
          <w:rFonts w:ascii="Times New Roman" w:eastAsia="Times New Roman" w:hAnsi="Times New Roman"/>
          <w:b/>
          <w:color w:val="000000"/>
          <w:sz w:val="24"/>
          <w:szCs w:val="24"/>
        </w:rPr>
      </w:pPr>
    </w:p>
    <w:p w:rsidR="00E472E5" w:rsidRPr="00A7624F" w:rsidRDefault="00E472E5" w:rsidP="00E472E5">
      <w:pPr>
        <w:spacing w:after="0" w:line="240" w:lineRule="auto"/>
        <w:jc w:val="center"/>
        <w:rPr>
          <w:rFonts w:ascii="Times New Roman" w:eastAsia="Times New Roman" w:hAnsi="Times New Roman"/>
          <w:b/>
          <w:color w:val="000000"/>
          <w:sz w:val="24"/>
          <w:szCs w:val="24"/>
        </w:rPr>
      </w:pPr>
    </w:p>
    <w:p w:rsidR="00E472E5" w:rsidRPr="00A7624F" w:rsidRDefault="00E472E5" w:rsidP="00E472E5">
      <w:pPr>
        <w:rPr>
          <w:rFonts w:ascii="Times New Roman" w:hAnsi="Times New Roman"/>
          <w:sz w:val="24"/>
          <w:szCs w:val="24"/>
        </w:rPr>
      </w:pPr>
      <w:r w:rsidRPr="00A7624F">
        <w:rPr>
          <w:noProof/>
        </w:rPr>
        <w:drawing>
          <wp:inline distT="0" distB="0" distL="0" distR="0" wp14:anchorId="6373A5C4" wp14:editId="66AB3D12">
            <wp:extent cx="5981700" cy="39719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72E5" w:rsidRPr="00A7624F" w:rsidRDefault="00E472E5" w:rsidP="00E472E5">
      <w:pPr>
        <w:rPr>
          <w:rFonts w:ascii="Times New Roman" w:hAnsi="Times New Roman"/>
          <w:sz w:val="24"/>
          <w:szCs w:val="24"/>
        </w:rPr>
      </w:pPr>
    </w:p>
    <w:p w:rsidR="00E472E5" w:rsidRPr="00A7624F" w:rsidRDefault="00E472E5" w:rsidP="00E472E5">
      <w:pPr>
        <w:rPr>
          <w:rFonts w:ascii="Times New Roman" w:hAnsi="Times New Roman"/>
          <w:sz w:val="24"/>
          <w:szCs w:val="24"/>
        </w:rPr>
      </w:pPr>
      <w:r w:rsidRPr="00A7624F">
        <w:rPr>
          <w:rFonts w:ascii="Times New Roman" w:hAnsi="Times New Roman"/>
          <w:sz w:val="24"/>
          <w:szCs w:val="24"/>
        </w:rPr>
        <w:br w:type="page"/>
      </w:r>
    </w:p>
    <w:p w:rsidR="00E472E5" w:rsidRPr="00A7624F" w:rsidRDefault="00E472E5" w:rsidP="00E472E5">
      <w:pPr>
        <w:rPr>
          <w:rFonts w:ascii="Times New Roman" w:hAnsi="Times New Roman"/>
          <w:b/>
          <w:sz w:val="24"/>
          <w:szCs w:val="24"/>
        </w:rPr>
      </w:pPr>
      <w:r w:rsidRPr="00A7624F">
        <w:rPr>
          <w:rFonts w:ascii="Times New Roman" w:hAnsi="Times New Roman"/>
          <w:b/>
          <w:sz w:val="24"/>
          <w:szCs w:val="24"/>
        </w:rPr>
        <w:lastRenderedPageBreak/>
        <w:t>Table 2: Summary Statistics</w:t>
      </w:r>
    </w:p>
    <w:p w:rsidR="00E472E5" w:rsidRPr="00A7624F" w:rsidRDefault="00E472E5" w:rsidP="00E472E5">
      <w:pPr>
        <w:rPr>
          <w:rFonts w:ascii="Times New Roman" w:hAnsi="Times New Roman"/>
          <w:b/>
          <w:sz w:val="24"/>
          <w:szCs w:val="24"/>
        </w:rPr>
      </w:pPr>
      <w:r w:rsidRPr="00A7624F">
        <w:rPr>
          <w:rFonts w:ascii="Times New Roman" w:hAnsi="Times New Roman"/>
          <w:b/>
          <w:sz w:val="24"/>
          <w:szCs w:val="24"/>
        </w:rPr>
        <w:t>Panel A: Profile of companies acquired by their own CVC investors</w:t>
      </w:r>
    </w:p>
    <w:tbl>
      <w:tblPr>
        <w:tblW w:w="9890" w:type="dxa"/>
        <w:tblLook w:val="04A0" w:firstRow="1" w:lastRow="0" w:firstColumn="1" w:lastColumn="0" w:noHBand="0" w:noVBand="1"/>
      </w:tblPr>
      <w:tblGrid>
        <w:gridCol w:w="3690"/>
        <w:gridCol w:w="980"/>
        <w:gridCol w:w="1240"/>
        <w:gridCol w:w="980"/>
        <w:gridCol w:w="980"/>
        <w:gridCol w:w="980"/>
        <w:gridCol w:w="1040"/>
      </w:tblGrid>
      <w:tr w:rsidR="00E472E5" w:rsidRPr="00A7624F" w:rsidTr="000D535F">
        <w:trPr>
          <w:trHeight w:val="315"/>
        </w:trPr>
        <w:tc>
          <w:tcPr>
            <w:tcW w:w="3690" w:type="dxa"/>
            <w:tcBorders>
              <w:top w:val="single" w:sz="4" w:space="0" w:color="auto"/>
              <w:left w:val="nil"/>
              <w:bottom w:val="single" w:sz="4" w:space="0" w:color="auto"/>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sz w:val="24"/>
                <w:szCs w:val="24"/>
              </w:rPr>
            </w:pPr>
          </w:p>
        </w:tc>
        <w:tc>
          <w:tcPr>
            <w:tcW w:w="98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N</w:t>
            </w:r>
          </w:p>
        </w:tc>
        <w:tc>
          <w:tcPr>
            <w:tcW w:w="124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Mean</w:t>
            </w:r>
          </w:p>
        </w:tc>
        <w:tc>
          <w:tcPr>
            <w:tcW w:w="98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Median</w:t>
            </w:r>
          </w:p>
        </w:tc>
        <w:tc>
          <w:tcPr>
            <w:tcW w:w="98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St. Dev.</w:t>
            </w:r>
          </w:p>
        </w:tc>
        <w:tc>
          <w:tcPr>
            <w:tcW w:w="98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Min</w:t>
            </w:r>
          </w:p>
        </w:tc>
        <w:tc>
          <w:tcPr>
            <w:tcW w:w="104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Max</w:t>
            </w:r>
          </w:p>
        </w:tc>
      </w:tr>
      <w:tr w:rsidR="00E472E5" w:rsidRPr="00A7624F" w:rsidTr="000D535F">
        <w:trPr>
          <w:trHeight w:val="315"/>
        </w:trPr>
        <w:tc>
          <w:tcPr>
            <w:tcW w:w="3690" w:type="dxa"/>
            <w:tcBorders>
              <w:top w:val="single" w:sz="4" w:space="0" w:color="auto"/>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Company age (years)</w:t>
            </w:r>
          </w:p>
        </w:tc>
        <w:tc>
          <w:tcPr>
            <w:tcW w:w="980" w:type="dxa"/>
            <w:tcBorders>
              <w:top w:val="single" w:sz="4" w:space="0" w:color="auto"/>
              <w:left w:val="nil"/>
              <w:bottom w:val="nil"/>
              <w:right w:val="nil"/>
            </w:tcBorders>
            <w:shd w:val="clear" w:color="auto" w:fill="auto"/>
            <w:noWrap/>
            <w:vAlign w:val="center"/>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135</w:t>
            </w:r>
          </w:p>
        </w:tc>
        <w:tc>
          <w:tcPr>
            <w:tcW w:w="1240" w:type="dxa"/>
            <w:tcBorders>
              <w:top w:val="single" w:sz="4" w:space="0" w:color="auto"/>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4.76</w:t>
            </w:r>
          </w:p>
        </w:tc>
        <w:tc>
          <w:tcPr>
            <w:tcW w:w="980" w:type="dxa"/>
            <w:tcBorders>
              <w:top w:val="single" w:sz="4" w:space="0" w:color="auto"/>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4.00</w:t>
            </w:r>
          </w:p>
        </w:tc>
        <w:tc>
          <w:tcPr>
            <w:tcW w:w="980" w:type="dxa"/>
            <w:tcBorders>
              <w:top w:val="single" w:sz="4" w:space="0" w:color="auto"/>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3.52</w:t>
            </w:r>
          </w:p>
        </w:tc>
        <w:tc>
          <w:tcPr>
            <w:tcW w:w="980" w:type="dxa"/>
            <w:tcBorders>
              <w:top w:val="single" w:sz="4" w:space="0" w:color="auto"/>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w:t>
            </w:r>
          </w:p>
        </w:tc>
        <w:tc>
          <w:tcPr>
            <w:tcW w:w="1040" w:type="dxa"/>
            <w:tcBorders>
              <w:top w:val="single" w:sz="4" w:space="0" w:color="auto"/>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20.85</w:t>
            </w:r>
          </w:p>
        </w:tc>
      </w:tr>
      <w:tr w:rsidR="00E472E5" w:rsidRPr="00A7624F" w:rsidTr="000D535F">
        <w:trPr>
          <w:trHeight w:val="315"/>
        </w:trPr>
        <w:tc>
          <w:tcPr>
            <w:tcW w:w="369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CVC investment ($ millions)</w:t>
            </w:r>
          </w:p>
        </w:tc>
        <w:tc>
          <w:tcPr>
            <w:tcW w:w="98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131</w:t>
            </w:r>
          </w:p>
        </w:tc>
        <w:tc>
          <w:tcPr>
            <w:tcW w:w="12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38.47</w:t>
            </w:r>
          </w:p>
        </w:tc>
        <w:tc>
          <w:tcPr>
            <w:tcW w:w="98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22.00</w:t>
            </w:r>
          </w:p>
        </w:tc>
        <w:tc>
          <w:tcPr>
            <w:tcW w:w="98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42.28</w:t>
            </w:r>
          </w:p>
        </w:tc>
        <w:tc>
          <w:tcPr>
            <w:tcW w:w="98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0.17</w:t>
            </w:r>
          </w:p>
        </w:tc>
        <w:tc>
          <w:tcPr>
            <w:tcW w:w="1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242.31</w:t>
            </w:r>
          </w:p>
        </w:tc>
      </w:tr>
      <w:tr w:rsidR="00E472E5" w:rsidRPr="00A7624F" w:rsidTr="000D535F">
        <w:trPr>
          <w:trHeight w:val="315"/>
        </w:trPr>
        <w:tc>
          <w:tcPr>
            <w:tcW w:w="369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Number of investment rounds</w:t>
            </w:r>
          </w:p>
        </w:tc>
        <w:tc>
          <w:tcPr>
            <w:tcW w:w="98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135</w:t>
            </w:r>
          </w:p>
        </w:tc>
        <w:tc>
          <w:tcPr>
            <w:tcW w:w="12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3.67</w:t>
            </w:r>
          </w:p>
        </w:tc>
        <w:tc>
          <w:tcPr>
            <w:tcW w:w="98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3.00</w:t>
            </w:r>
          </w:p>
        </w:tc>
        <w:tc>
          <w:tcPr>
            <w:tcW w:w="98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2.11</w:t>
            </w:r>
          </w:p>
        </w:tc>
        <w:tc>
          <w:tcPr>
            <w:tcW w:w="98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1.00</w:t>
            </w:r>
          </w:p>
        </w:tc>
        <w:tc>
          <w:tcPr>
            <w:tcW w:w="1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13.00</w:t>
            </w:r>
          </w:p>
        </w:tc>
      </w:tr>
      <w:tr w:rsidR="00E472E5" w:rsidRPr="00A7624F" w:rsidTr="000D535F">
        <w:trPr>
          <w:trHeight w:val="315"/>
        </w:trPr>
        <w:tc>
          <w:tcPr>
            <w:tcW w:w="369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Number of investors</w:t>
            </w:r>
          </w:p>
        </w:tc>
        <w:tc>
          <w:tcPr>
            <w:tcW w:w="98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135</w:t>
            </w:r>
          </w:p>
        </w:tc>
        <w:tc>
          <w:tcPr>
            <w:tcW w:w="12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8.17</w:t>
            </w:r>
          </w:p>
        </w:tc>
        <w:tc>
          <w:tcPr>
            <w:tcW w:w="98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7.00</w:t>
            </w:r>
          </w:p>
        </w:tc>
        <w:tc>
          <w:tcPr>
            <w:tcW w:w="98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5.33</w:t>
            </w:r>
          </w:p>
        </w:tc>
        <w:tc>
          <w:tcPr>
            <w:tcW w:w="98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1.00</w:t>
            </w:r>
          </w:p>
        </w:tc>
        <w:tc>
          <w:tcPr>
            <w:tcW w:w="1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26.00</w:t>
            </w:r>
          </w:p>
        </w:tc>
      </w:tr>
      <w:tr w:rsidR="00E472E5" w:rsidRPr="00A7624F" w:rsidTr="000D535F">
        <w:trPr>
          <w:trHeight w:val="315"/>
        </w:trPr>
        <w:tc>
          <w:tcPr>
            <w:tcW w:w="3690" w:type="dxa"/>
            <w:tcBorders>
              <w:top w:val="nil"/>
              <w:left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Years as CVC company</w:t>
            </w:r>
          </w:p>
        </w:tc>
        <w:tc>
          <w:tcPr>
            <w:tcW w:w="980" w:type="dxa"/>
            <w:tcBorders>
              <w:top w:val="nil"/>
              <w:left w:val="nil"/>
              <w:right w:val="nil"/>
            </w:tcBorders>
            <w:shd w:val="clear" w:color="auto" w:fill="auto"/>
            <w:noWrap/>
            <w:vAlign w:val="center"/>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135</w:t>
            </w:r>
          </w:p>
        </w:tc>
        <w:tc>
          <w:tcPr>
            <w:tcW w:w="1240" w:type="dxa"/>
            <w:tcBorders>
              <w:top w:val="nil"/>
              <w:left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2.98</w:t>
            </w:r>
          </w:p>
        </w:tc>
        <w:tc>
          <w:tcPr>
            <w:tcW w:w="980" w:type="dxa"/>
            <w:tcBorders>
              <w:top w:val="nil"/>
              <w:left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2.21</w:t>
            </w:r>
          </w:p>
        </w:tc>
        <w:tc>
          <w:tcPr>
            <w:tcW w:w="980" w:type="dxa"/>
            <w:tcBorders>
              <w:top w:val="nil"/>
              <w:left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2.77</w:t>
            </w:r>
          </w:p>
        </w:tc>
        <w:tc>
          <w:tcPr>
            <w:tcW w:w="980" w:type="dxa"/>
            <w:tcBorders>
              <w:top w:val="nil"/>
              <w:left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w:t>
            </w:r>
          </w:p>
        </w:tc>
        <w:tc>
          <w:tcPr>
            <w:tcW w:w="1040" w:type="dxa"/>
            <w:tcBorders>
              <w:top w:val="nil"/>
              <w:left w:val="nil"/>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12.76</w:t>
            </w:r>
          </w:p>
        </w:tc>
      </w:tr>
      <w:tr w:rsidR="00E472E5" w:rsidRPr="00A7624F" w:rsidTr="000D535F">
        <w:trPr>
          <w:trHeight w:val="315"/>
        </w:trPr>
        <w:tc>
          <w:tcPr>
            <w:tcW w:w="3690" w:type="dxa"/>
            <w:tcBorders>
              <w:top w:val="nil"/>
              <w:left w:val="nil"/>
              <w:bottom w:val="single" w:sz="4" w:space="0" w:color="auto"/>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Average round amount ($ millions)</w:t>
            </w:r>
          </w:p>
        </w:tc>
        <w:tc>
          <w:tcPr>
            <w:tcW w:w="980" w:type="dxa"/>
            <w:tcBorders>
              <w:top w:val="nil"/>
              <w:left w:val="nil"/>
              <w:bottom w:val="single" w:sz="4" w:space="0" w:color="auto"/>
              <w:right w:val="nil"/>
            </w:tcBorders>
            <w:shd w:val="clear" w:color="auto" w:fill="auto"/>
            <w:noWrap/>
            <w:vAlign w:val="center"/>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131</w:t>
            </w:r>
          </w:p>
        </w:tc>
        <w:tc>
          <w:tcPr>
            <w:tcW w:w="1240" w:type="dxa"/>
            <w:tcBorders>
              <w:top w:val="nil"/>
              <w:left w:val="nil"/>
              <w:bottom w:val="single" w:sz="4" w:space="0" w:color="auto"/>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10.35</w:t>
            </w:r>
          </w:p>
        </w:tc>
        <w:tc>
          <w:tcPr>
            <w:tcW w:w="980" w:type="dxa"/>
            <w:tcBorders>
              <w:top w:val="nil"/>
              <w:left w:val="nil"/>
              <w:bottom w:val="single" w:sz="4" w:space="0" w:color="auto"/>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7.50</w:t>
            </w:r>
          </w:p>
        </w:tc>
        <w:tc>
          <w:tcPr>
            <w:tcW w:w="980" w:type="dxa"/>
            <w:tcBorders>
              <w:top w:val="nil"/>
              <w:left w:val="nil"/>
              <w:bottom w:val="single" w:sz="4" w:space="0" w:color="auto"/>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10.72</w:t>
            </w:r>
          </w:p>
        </w:tc>
        <w:tc>
          <w:tcPr>
            <w:tcW w:w="980" w:type="dxa"/>
            <w:tcBorders>
              <w:top w:val="nil"/>
              <w:left w:val="nil"/>
              <w:bottom w:val="single" w:sz="4" w:space="0" w:color="auto"/>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0.06</w:t>
            </w:r>
          </w:p>
        </w:tc>
        <w:tc>
          <w:tcPr>
            <w:tcW w:w="1040" w:type="dxa"/>
            <w:tcBorders>
              <w:top w:val="nil"/>
              <w:left w:val="nil"/>
              <w:bottom w:val="single" w:sz="4" w:space="0" w:color="auto"/>
              <w:right w:val="nil"/>
            </w:tcBorders>
            <w:shd w:val="clear" w:color="auto" w:fill="auto"/>
            <w:noWrap/>
            <w:vAlign w:val="center"/>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82.60</w:t>
            </w:r>
          </w:p>
        </w:tc>
      </w:tr>
    </w:tbl>
    <w:p w:rsidR="00E472E5" w:rsidRPr="00A7624F" w:rsidRDefault="00E472E5" w:rsidP="00E472E5">
      <w:pPr>
        <w:rPr>
          <w:rFonts w:ascii="Times New Roman" w:hAnsi="Times New Roman"/>
          <w:sz w:val="24"/>
          <w:szCs w:val="24"/>
        </w:rPr>
      </w:pPr>
    </w:p>
    <w:p w:rsidR="00E472E5" w:rsidRPr="00A7624F" w:rsidRDefault="00E472E5" w:rsidP="00E472E5">
      <w:pPr>
        <w:rPr>
          <w:rFonts w:ascii="Times New Roman" w:hAnsi="Times New Roman"/>
          <w:b/>
          <w:sz w:val="24"/>
          <w:szCs w:val="24"/>
        </w:rPr>
      </w:pPr>
      <w:r w:rsidRPr="00A7624F">
        <w:rPr>
          <w:rFonts w:ascii="Times New Roman" w:hAnsi="Times New Roman"/>
          <w:b/>
          <w:sz w:val="24"/>
          <w:szCs w:val="24"/>
        </w:rPr>
        <w:t>Panel B: Profile of companies acquired by third-party acquirers</w:t>
      </w:r>
    </w:p>
    <w:tbl>
      <w:tblPr>
        <w:tblW w:w="9890" w:type="dxa"/>
        <w:tblLook w:val="04A0" w:firstRow="1" w:lastRow="0" w:firstColumn="1" w:lastColumn="0" w:noHBand="0" w:noVBand="1"/>
      </w:tblPr>
      <w:tblGrid>
        <w:gridCol w:w="3690"/>
        <w:gridCol w:w="980"/>
        <w:gridCol w:w="1240"/>
        <w:gridCol w:w="980"/>
        <w:gridCol w:w="980"/>
        <w:gridCol w:w="980"/>
        <w:gridCol w:w="1040"/>
      </w:tblGrid>
      <w:tr w:rsidR="00E472E5" w:rsidRPr="00A7624F" w:rsidTr="000D535F">
        <w:trPr>
          <w:trHeight w:val="315"/>
        </w:trPr>
        <w:tc>
          <w:tcPr>
            <w:tcW w:w="3690" w:type="dxa"/>
            <w:tcBorders>
              <w:top w:val="single" w:sz="4" w:space="0" w:color="auto"/>
              <w:left w:val="nil"/>
              <w:bottom w:val="single" w:sz="4" w:space="0" w:color="auto"/>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sz w:val="24"/>
                <w:szCs w:val="24"/>
              </w:rPr>
            </w:pPr>
          </w:p>
        </w:tc>
        <w:tc>
          <w:tcPr>
            <w:tcW w:w="98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N</w:t>
            </w:r>
          </w:p>
        </w:tc>
        <w:tc>
          <w:tcPr>
            <w:tcW w:w="124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Mean</w:t>
            </w:r>
          </w:p>
        </w:tc>
        <w:tc>
          <w:tcPr>
            <w:tcW w:w="98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Median</w:t>
            </w:r>
          </w:p>
        </w:tc>
        <w:tc>
          <w:tcPr>
            <w:tcW w:w="98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St. Dev.</w:t>
            </w:r>
          </w:p>
        </w:tc>
        <w:tc>
          <w:tcPr>
            <w:tcW w:w="98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Min</w:t>
            </w:r>
          </w:p>
        </w:tc>
        <w:tc>
          <w:tcPr>
            <w:tcW w:w="104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Max</w:t>
            </w:r>
          </w:p>
        </w:tc>
      </w:tr>
      <w:tr w:rsidR="00E472E5" w:rsidRPr="00A7624F" w:rsidTr="000D535F">
        <w:trPr>
          <w:trHeight w:val="315"/>
        </w:trPr>
        <w:tc>
          <w:tcPr>
            <w:tcW w:w="3690" w:type="dxa"/>
            <w:tcBorders>
              <w:top w:val="single" w:sz="4" w:space="0" w:color="auto"/>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Company age (years)</w:t>
            </w:r>
          </w:p>
        </w:tc>
        <w:tc>
          <w:tcPr>
            <w:tcW w:w="98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1141</w:t>
            </w:r>
          </w:p>
        </w:tc>
        <w:tc>
          <w:tcPr>
            <w:tcW w:w="124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7.75</w:t>
            </w:r>
          </w:p>
        </w:tc>
        <w:tc>
          <w:tcPr>
            <w:tcW w:w="98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7.00</w:t>
            </w:r>
          </w:p>
        </w:tc>
        <w:tc>
          <w:tcPr>
            <w:tcW w:w="98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5.56</w:t>
            </w:r>
          </w:p>
        </w:tc>
        <w:tc>
          <w:tcPr>
            <w:tcW w:w="98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w:t>
            </w:r>
          </w:p>
        </w:tc>
        <w:tc>
          <w:tcPr>
            <w:tcW w:w="104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79.00</w:t>
            </w:r>
          </w:p>
        </w:tc>
      </w:tr>
      <w:tr w:rsidR="00E472E5" w:rsidRPr="00A7624F" w:rsidTr="000D535F">
        <w:trPr>
          <w:trHeight w:val="315"/>
        </w:trPr>
        <w:tc>
          <w:tcPr>
            <w:tcW w:w="369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CVC investment ($ millions)</w:t>
            </w:r>
          </w:p>
        </w:tc>
        <w:tc>
          <w:tcPr>
            <w:tcW w:w="98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1129</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57.46</w:t>
            </w:r>
          </w:p>
        </w:tc>
        <w:tc>
          <w:tcPr>
            <w:tcW w:w="98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44.63</w:t>
            </w:r>
          </w:p>
        </w:tc>
        <w:tc>
          <w:tcPr>
            <w:tcW w:w="98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52.74</w:t>
            </w:r>
          </w:p>
        </w:tc>
        <w:tc>
          <w:tcPr>
            <w:tcW w:w="98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0.02</w:t>
            </w:r>
          </w:p>
        </w:tc>
        <w:tc>
          <w:tcPr>
            <w:tcW w:w="10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607.88</w:t>
            </w:r>
          </w:p>
        </w:tc>
      </w:tr>
      <w:tr w:rsidR="00E472E5" w:rsidRPr="00A7624F" w:rsidTr="000D535F">
        <w:trPr>
          <w:trHeight w:val="315"/>
        </w:trPr>
        <w:tc>
          <w:tcPr>
            <w:tcW w:w="369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Number of investment rounds</w:t>
            </w:r>
          </w:p>
        </w:tc>
        <w:tc>
          <w:tcPr>
            <w:tcW w:w="98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1141</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5.23</w:t>
            </w:r>
          </w:p>
        </w:tc>
        <w:tc>
          <w:tcPr>
            <w:tcW w:w="98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5.00</w:t>
            </w:r>
          </w:p>
        </w:tc>
        <w:tc>
          <w:tcPr>
            <w:tcW w:w="98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3.09</w:t>
            </w:r>
          </w:p>
        </w:tc>
        <w:tc>
          <w:tcPr>
            <w:tcW w:w="98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1.00</w:t>
            </w:r>
          </w:p>
        </w:tc>
        <w:tc>
          <w:tcPr>
            <w:tcW w:w="10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21.00</w:t>
            </w:r>
          </w:p>
        </w:tc>
      </w:tr>
      <w:tr w:rsidR="00E472E5" w:rsidRPr="00A7624F" w:rsidTr="000D535F">
        <w:trPr>
          <w:trHeight w:val="315"/>
        </w:trPr>
        <w:tc>
          <w:tcPr>
            <w:tcW w:w="369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Number of investors</w:t>
            </w:r>
          </w:p>
        </w:tc>
        <w:tc>
          <w:tcPr>
            <w:tcW w:w="98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1141</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12.20</w:t>
            </w:r>
          </w:p>
        </w:tc>
        <w:tc>
          <w:tcPr>
            <w:tcW w:w="98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10.00</w:t>
            </w:r>
          </w:p>
        </w:tc>
        <w:tc>
          <w:tcPr>
            <w:tcW w:w="98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7.38</w:t>
            </w:r>
          </w:p>
        </w:tc>
        <w:tc>
          <w:tcPr>
            <w:tcW w:w="98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1.00</w:t>
            </w:r>
          </w:p>
        </w:tc>
        <w:tc>
          <w:tcPr>
            <w:tcW w:w="10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47.00</w:t>
            </w:r>
          </w:p>
        </w:tc>
      </w:tr>
      <w:tr w:rsidR="00E472E5" w:rsidRPr="00A7624F" w:rsidTr="000D535F">
        <w:trPr>
          <w:trHeight w:val="315"/>
        </w:trPr>
        <w:tc>
          <w:tcPr>
            <w:tcW w:w="3690" w:type="dxa"/>
            <w:tcBorders>
              <w:top w:val="nil"/>
              <w:left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Years as CVC company</w:t>
            </w:r>
          </w:p>
        </w:tc>
        <w:tc>
          <w:tcPr>
            <w:tcW w:w="980" w:type="dxa"/>
            <w:tcBorders>
              <w:top w:val="nil"/>
              <w:left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1141</w:t>
            </w:r>
          </w:p>
        </w:tc>
        <w:tc>
          <w:tcPr>
            <w:tcW w:w="1240" w:type="dxa"/>
            <w:tcBorders>
              <w:top w:val="nil"/>
              <w:left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4.47</w:t>
            </w:r>
          </w:p>
        </w:tc>
        <w:tc>
          <w:tcPr>
            <w:tcW w:w="980" w:type="dxa"/>
            <w:tcBorders>
              <w:top w:val="nil"/>
              <w:left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3.72</w:t>
            </w:r>
          </w:p>
        </w:tc>
        <w:tc>
          <w:tcPr>
            <w:tcW w:w="980" w:type="dxa"/>
            <w:tcBorders>
              <w:top w:val="nil"/>
              <w:left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3.57</w:t>
            </w:r>
          </w:p>
        </w:tc>
        <w:tc>
          <w:tcPr>
            <w:tcW w:w="980" w:type="dxa"/>
            <w:tcBorders>
              <w:top w:val="nil"/>
              <w:left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w:t>
            </w:r>
          </w:p>
        </w:tc>
        <w:tc>
          <w:tcPr>
            <w:tcW w:w="1040" w:type="dxa"/>
            <w:tcBorders>
              <w:top w:val="nil"/>
              <w:left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18.38</w:t>
            </w:r>
          </w:p>
        </w:tc>
      </w:tr>
      <w:tr w:rsidR="00E472E5" w:rsidRPr="00A7624F" w:rsidTr="000D535F">
        <w:trPr>
          <w:trHeight w:val="315"/>
        </w:trPr>
        <w:tc>
          <w:tcPr>
            <w:tcW w:w="3690" w:type="dxa"/>
            <w:tcBorders>
              <w:top w:val="nil"/>
              <w:left w:val="nil"/>
              <w:bottom w:val="single" w:sz="4" w:space="0" w:color="auto"/>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Average round amount ($ millions)</w:t>
            </w:r>
          </w:p>
        </w:tc>
        <w:tc>
          <w:tcPr>
            <w:tcW w:w="98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1129</w:t>
            </w:r>
          </w:p>
        </w:tc>
        <w:tc>
          <w:tcPr>
            <w:tcW w:w="124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11.89</w:t>
            </w:r>
          </w:p>
        </w:tc>
        <w:tc>
          <w:tcPr>
            <w:tcW w:w="98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9.25</w:t>
            </w:r>
          </w:p>
        </w:tc>
        <w:tc>
          <w:tcPr>
            <w:tcW w:w="98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10.36</w:t>
            </w:r>
          </w:p>
        </w:tc>
        <w:tc>
          <w:tcPr>
            <w:tcW w:w="98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0.02</w:t>
            </w:r>
          </w:p>
        </w:tc>
        <w:tc>
          <w:tcPr>
            <w:tcW w:w="104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100.00</w:t>
            </w:r>
          </w:p>
        </w:tc>
      </w:tr>
    </w:tbl>
    <w:p w:rsidR="00E472E5" w:rsidRPr="00A7624F" w:rsidRDefault="00E472E5" w:rsidP="00E472E5">
      <w:pPr>
        <w:rPr>
          <w:rFonts w:ascii="Times New Roman" w:hAnsi="Times New Roman"/>
          <w:sz w:val="24"/>
          <w:szCs w:val="24"/>
        </w:rPr>
      </w:pPr>
    </w:p>
    <w:p w:rsidR="00E472E5" w:rsidRPr="00A7624F" w:rsidRDefault="00E472E5" w:rsidP="00E472E5">
      <w:pPr>
        <w:rPr>
          <w:rFonts w:ascii="Times New Roman" w:hAnsi="Times New Roman"/>
          <w:sz w:val="24"/>
          <w:szCs w:val="24"/>
        </w:rPr>
      </w:pPr>
      <w:r w:rsidRPr="00A7624F">
        <w:rPr>
          <w:rFonts w:ascii="Times New Roman" w:hAnsi="Times New Roman"/>
          <w:sz w:val="24"/>
          <w:szCs w:val="24"/>
        </w:rPr>
        <w:br w:type="page"/>
      </w:r>
    </w:p>
    <w:p w:rsidR="00E472E5" w:rsidRPr="00A7624F" w:rsidRDefault="00E472E5" w:rsidP="00E472E5">
      <w:pPr>
        <w:rPr>
          <w:rFonts w:ascii="Times New Roman" w:hAnsi="Times New Roman"/>
          <w:b/>
          <w:sz w:val="24"/>
          <w:szCs w:val="24"/>
        </w:rPr>
      </w:pPr>
      <w:r w:rsidRPr="00A7624F">
        <w:rPr>
          <w:rFonts w:ascii="Times New Roman" w:hAnsi="Times New Roman"/>
          <w:b/>
          <w:sz w:val="24"/>
          <w:szCs w:val="24"/>
        </w:rPr>
        <w:lastRenderedPageBreak/>
        <w:t>Table 3: Profile of Acquirers</w:t>
      </w:r>
    </w:p>
    <w:p w:rsidR="00E472E5" w:rsidRPr="00A7624F" w:rsidRDefault="00E472E5" w:rsidP="00E472E5">
      <w:pPr>
        <w:rPr>
          <w:rFonts w:ascii="Times New Roman" w:hAnsi="Times New Roman"/>
          <w:b/>
          <w:sz w:val="24"/>
          <w:szCs w:val="24"/>
        </w:rPr>
      </w:pPr>
      <w:r w:rsidRPr="00A7624F">
        <w:rPr>
          <w:rFonts w:ascii="Times New Roman" w:hAnsi="Times New Roman"/>
          <w:b/>
          <w:sz w:val="24"/>
          <w:szCs w:val="24"/>
        </w:rPr>
        <w:t>Panel A: Acquirers of Their Own CVC Portfolio Companies</w:t>
      </w:r>
    </w:p>
    <w:tbl>
      <w:tblPr>
        <w:tblW w:w="9390" w:type="dxa"/>
        <w:tblLook w:val="04A0" w:firstRow="1" w:lastRow="0" w:firstColumn="1" w:lastColumn="0" w:noHBand="0" w:noVBand="1"/>
      </w:tblPr>
      <w:tblGrid>
        <w:gridCol w:w="3040"/>
        <w:gridCol w:w="650"/>
        <w:gridCol w:w="1240"/>
        <w:gridCol w:w="1000"/>
        <w:gridCol w:w="1120"/>
        <w:gridCol w:w="1000"/>
        <w:gridCol w:w="1340"/>
      </w:tblGrid>
      <w:tr w:rsidR="00E472E5" w:rsidRPr="00A7624F" w:rsidTr="000D535F">
        <w:trPr>
          <w:trHeight w:val="315"/>
        </w:trPr>
        <w:tc>
          <w:tcPr>
            <w:tcW w:w="3040" w:type="dxa"/>
            <w:tcBorders>
              <w:top w:val="single" w:sz="4" w:space="0" w:color="auto"/>
              <w:left w:val="nil"/>
              <w:bottom w:val="single" w:sz="4" w:space="0" w:color="auto"/>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sz w:val="24"/>
                <w:szCs w:val="24"/>
              </w:rPr>
            </w:pPr>
          </w:p>
        </w:tc>
        <w:tc>
          <w:tcPr>
            <w:tcW w:w="65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N</w:t>
            </w:r>
          </w:p>
        </w:tc>
        <w:tc>
          <w:tcPr>
            <w:tcW w:w="124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Mean</w:t>
            </w:r>
          </w:p>
        </w:tc>
        <w:tc>
          <w:tcPr>
            <w:tcW w:w="100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Median</w:t>
            </w:r>
          </w:p>
        </w:tc>
        <w:tc>
          <w:tcPr>
            <w:tcW w:w="112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St. Dev.</w:t>
            </w:r>
          </w:p>
        </w:tc>
        <w:tc>
          <w:tcPr>
            <w:tcW w:w="100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Min</w:t>
            </w:r>
          </w:p>
        </w:tc>
        <w:tc>
          <w:tcPr>
            <w:tcW w:w="134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Max</w:t>
            </w:r>
          </w:p>
        </w:tc>
      </w:tr>
      <w:tr w:rsidR="00E472E5" w:rsidRPr="00A7624F" w:rsidTr="000D535F">
        <w:trPr>
          <w:trHeight w:val="315"/>
        </w:trPr>
        <w:tc>
          <w:tcPr>
            <w:tcW w:w="3040" w:type="dxa"/>
            <w:tcBorders>
              <w:top w:val="single" w:sz="4" w:space="0" w:color="auto"/>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Age</w:t>
            </w:r>
          </w:p>
        </w:tc>
        <w:tc>
          <w:tcPr>
            <w:tcW w:w="65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133</w:t>
            </w:r>
          </w:p>
        </w:tc>
        <w:tc>
          <w:tcPr>
            <w:tcW w:w="124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25</w:t>
            </w:r>
          </w:p>
        </w:tc>
        <w:tc>
          <w:tcPr>
            <w:tcW w:w="100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w:t>
            </w:r>
          </w:p>
        </w:tc>
        <w:tc>
          <w:tcPr>
            <w:tcW w:w="112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16</w:t>
            </w:r>
          </w:p>
        </w:tc>
        <w:tc>
          <w:tcPr>
            <w:tcW w:w="100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w:t>
            </w:r>
          </w:p>
        </w:tc>
        <w:tc>
          <w:tcPr>
            <w:tcW w:w="134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61</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Employees (thousands)</w:t>
            </w:r>
          </w:p>
        </w:tc>
        <w:tc>
          <w:tcPr>
            <w:tcW w:w="6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133</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46</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34</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61</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387</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Total Assets ($ millions)</w:t>
            </w:r>
          </w:p>
        </w:tc>
        <w:tc>
          <w:tcPr>
            <w:tcW w:w="6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133</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30,729</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19,512</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36,100</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9</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176,064</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Market Value ($ millions)</w:t>
            </w:r>
          </w:p>
        </w:tc>
        <w:tc>
          <w:tcPr>
            <w:tcW w:w="6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110</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93,929</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54,538</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109,421</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231</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467,093</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Sales Growth</w:t>
            </w:r>
          </w:p>
        </w:tc>
        <w:tc>
          <w:tcPr>
            <w:tcW w:w="6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133</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0.23</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0.12</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0.41</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(0.51)</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2.14</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ROA</w:t>
            </w:r>
          </w:p>
        </w:tc>
        <w:tc>
          <w:tcPr>
            <w:tcW w:w="6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132</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0.15</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0.16</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0.16</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(1.05)</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0.43</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R&amp;D/Total Assets</w:t>
            </w:r>
          </w:p>
        </w:tc>
        <w:tc>
          <w:tcPr>
            <w:tcW w:w="6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135</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88</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47</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147</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821</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Tangible Assets/Total Assets</w:t>
            </w:r>
          </w:p>
        </w:tc>
        <w:tc>
          <w:tcPr>
            <w:tcW w:w="6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133</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0.14</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0.11</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0.11</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0.01</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0.52</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Leverage</w:t>
            </w:r>
          </w:p>
        </w:tc>
        <w:tc>
          <w:tcPr>
            <w:tcW w:w="6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132</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0.14</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0.12</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0.13</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0.76</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Free Cash Flow</w:t>
            </w:r>
          </w:p>
        </w:tc>
        <w:tc>
          <w:tcPr>
            <w:tcW w:w="65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132</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0.10</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0.11</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0.15</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(1.09)</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0.32</w:t>
            </w:r>
          </w:p>
        </w:tc>
      </w:tr>
      <w:tr w:rsidR="00E472E5" w:rsidRPr="00A7624F" w:rsidTr="000D535F">
        <w:trPr>
          <w:trHeight w:val="315"/>
        </w:trPr>
        <w:tc>
          <w:tcPr>
            <w:tcW w:w="3040" w:type="dxa"/>
            <w:tcBorders>
              <w:top w:val="nil"/>
              <w:left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Tobin's Q</w:t>
            </w:r>
          </w:p>
        </w:tc>
        <w:tc>
          <w:tcPr>
            <w:tcW w:w="650" w:type="dxa"/>
            <w:tcBorders>
              <w:top w:val="nil"/>
              <w:left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132</w:t>
            </w:r>
          </w:p>
        </w:tc>
        <w:tc>
          <w:tcPr>
            <w:tcW w:w="1240" w:type="dxa"/>
            <w:tcBorders>
              <w:top w:val="nil"/>
              <w:left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3.74</w:t>
            </w:r>
          </w:p>
        </w:tc>
        <w:tc>
          <w:tcPr>
            <w:tcW w:w="1000" w:type="dxa"/>
            <w:tcBorders>
              <w:top w:val="nil"/>
              <w:left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2.32</w:t>
            </w:r>
          </w:p>
        </w:tc>
        <w:tc>
          <w:tcPr>
            <w:tcW w:w="1120" w:type="dxa"/>
            <w:tcBorders>
              <w:top w:val="nil"/>
              <w:left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3.63</w:t>
            </w:r>
          </w:p>
        </w:tc>
        <w:tc>
          <w:tcPr>
            <w:tcW w:w="1000" w:type="dxa"/>
            <w:tcBorders>
              <w:top w:val="nil"/>
              <w:left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0.60</w:t>
            </w:r>
          </w:p>
        </w:tc>
        <w:tc>
          <w:tcPr>
            <w:tcW w:w="1340" w:type="dxa"/>
            <w:tcBorders>
              <w:top w:val="nil"/>
              <w:left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14.78</w:t>
            </w:r>
          </w:p>
        </w:tc>
      </w:tr>
      <w:tr w:rsidR="00E472E5" w:rsidRPr="00A7624F" w:rsidTr="000D535F">
        <w:trPr>
          <w:trHeight w:val="315"/>
        </w:trPr>
        <w:tc>
          <w:tcPr>
            <w:tcW w:w="3040" w:type="dxa"/>
            <w:tcBorders>
              <w:top w:val="nil"/>
              <w:left w:val="nil"/>
              <w:bottom w:val="single" w:sz="4" w:space="0" w:color="auto"/>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Cash/Total Assets</w:t>
            </w:r>
          </w:p>
        </w:tc>
        <w:tc>
          <w:tcPr>
            <w:tcW w:w="65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133</w:t>
            </w:r>
          </w:p>
        </w:tc>
        <w:tc>
          <w:tcPr>
            <w:tcW w:w="124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0.25</w:t>
            </w:r>
          </w:p>
        </w:tc>
        <w:tc>
          <w:tcPr>
            <w:tcW w:w="100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0.21</w:t>
            </w:r>
          </w:p>
        </w:tc>
        <w:tc>
          <w:tcPr>
            <w:tcW w:w="112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0.18</w:t>
            </w:r>
          </w:p>
        </w:tc>
        <w:tc>
          <w:tcPr>
            <w:tcW w:w="100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0.01</w:t>
            </w:r>
          </w:p>
        </w:tc>
        <w:tc>
          <w:tcPr>
            <w:tcW w:w="134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0.83</w:t>
            </w:r>
          </w:p>
        </w:tc>
      </w:tr>
    </w:tbl>
    <w:p w:rsidR="00E472E5" w:rsidRPr="00A7624F" w:rsidRDefault="00E472E5" w:rsidP="00E472E5">
      <w:pPr>
        <w:rPr>
          <w:rFonts w:ascii="Times New Roman" w:hAnsi="Times New Roman"/>
          <w:sz w:val="24"/>
          <w:szCs w:val="24"/>
        </w:rPr>
      </w:pPr>
    </w:p>
    <w:p w:rsidR="00E472E5" w:rsidRPr="00A7624F" w:rsidRDefault="00E472E5" w:rsidP="00E472E5">
      <w:pPr>
        <w:rPr>
          <w:rFonts w:ascii="Times New Roman" w:hAnsi="Times New Roman"/>
          <w:b/>
          <w:sz w:val="24"/>
          <w:szCs w:val="24"/>
        </w:rPr>
      </w:pPr>
      <w:r w:rsidRPr="00A7624F">
        <w:rPr>
          <w:rFonts w:ascii="Times New Roman" w:hAnsi="Times New Roman"/>
          <w:b/>
          <w:sz w:val="24"/>
          <w:szCs w:val="24"/>
        </w:rPr>
        <w:t>Panel B: Third-Party Acquirers</w:t>
      </w:r>
    </w:p>
    <w:tbl>
      <w:tblPr>
        <w:tblW w:w="9840" w:type="dxa"/>
        <w:tblLook w:val="04A0" w:firstRow="1" w:lastRow="0" w:firstColumn="1" w:lastColumn="0" w:noHBand="0" w:noVBand="1"/>
      </w:tblPr>
      <w:tblGrid>
        <w:gridCol w:w="3040"/>
        <w:gridCol w:w="1100"/>
        <w:gridCol w:w="1240"/>
        <w:gridCol w:w="1000"/>
        <w:gridCol w:w="1120"/>
        <w:gridCol w:w="1000"/>
        <w:gridCol w:w="1340"/>
      </w:tblGrid>
      <w:tr w:rsidR="00E472E5" w:rsidRPr="00A7624F" w:rsidTr="000D535F">
        <w:trPr>
          <w:trHeight w:val="315"/>
        </w:trPr>
        <w:tc>
          <w:tcPr>
            <w:tcW w:w="3040" w:type="dxa"/>
            <w:tcBorders>
              <w:top w:val="single" w:sz="4" w:space="0" w:color="auto"/>
              <w:left w:val="nil"/>
              <w:bottom w:val="single" w:sz="4" w:space="0" w:color="auto"/>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sz w:val="24"/>
                <w:szCs w:val="24"/>
              </w:rPr>
            </w:pPr>
          </w:p>
        </w:tc>
        <w:tc>
          <w:tcPr>
            <w:tcW w:w="110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N</w:t>
            </w:r>
          </w:p>
        </w:tc>
        <w:tc>
          <w:tcPr>
            <w:tcW w:w="124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Mean</w:t>
            </w:r>
          </w:p>
        </w:tc>
        <w:tc>
          <w:tcPr>
            <w:tcW w:w="100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Median</w:t>
            </w:r>
          </w:p>
        </w:tc>
        <w:tc>
          <w:tcPr>
            <w:tcW w:w="112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St. Dev.</w:t>
            </w:r>
          </w:p>
        </w:tc>
        <w:tc>
          <w:tcPr>
            <w:tcW w:w="100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Min</w:t>
            </w:r>
          </w:p>
        </w:tc>
        <w:tc>
          <w:tcPr>
            <w:tcW w:w="134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Max</w:t>
            </w:r>
          </w:p>
        </w:tc>
      </w:tr>
      <w:tr w:rsidR="00E472E5" w:rsidRPr="00A7624F" w:rsidTr="000D535F">
        <w:trPr>
          <w:trHeight w:val="315"/>
        </w:trPr>
        <w:tc>
          <w:tcPr>
            <w:tcW w:w="3040" w:type="dxa"/>
            <w:tcBorders>
              <w:top w:val="single" w:sz="4" w:space="0" w:color="auto"/>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Age</w:t>
            </w:r>
          </w:p>
        </w:tc>
        <w:tc>
          <w:tcPr>
            <w:tcW w:w="110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1,283</w:t>
            </w:r>
          </w:p>
        </w:tc>
        <w:tc>
          <w:tcPr>
            <w:tcW w:w="124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19</w:t>
            </w:r>
          </w:p>
        </w:tc>
        <w:tc>
          <w:tcPr>
            <w:tcW w:w="100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14</w:t>
            </w:r>
          </w:p>
        </w:tc>
        <w:tc>
          <w:tcPr>
            <w:tcW w:w="112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16</w:t>
            </w:r>
          </w:p>
        </w:tc>
        <w:tc>
          <w:tcPr>
            <w:tcW w:w="100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w:t>
            </w:r>
          </w:p>
        </w:tc>
        <w:tc>
          <w:tcPr>
            <w:tcW w:w="134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65</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Employees (thousands)</w:t>
            </w:r>
          </w:p>
        </w:tc>
        <w:tc>
          <w:tcPr>
            <w:tcW w:w="11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1,256</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35</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124</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2,200</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Total Assets ($ millions)</w:t>
            </w:r>
          </w:p>
        </w:tc>
        <w:tc>
          <w:tcPr>
            <w:tcW w:w="11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1,280</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22,831</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2,011</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90,027</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1,562,147</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Market Value ($ millions)</w:t>
            </w:r>
          </w:p>
        </w:tc>
        <w:tc>
          <w:tcPr>
            <w:tcW w:w="11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1,093</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32,981</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3,384</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69,821</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626,550</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Sales Growth</w:t>
            </w:r>
          </w:p>
        </w:tc>
        <w:tc>
          <w:tcPr>
            <w:tcW w:w="11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1,273</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0.73</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0.13</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8.33</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(0.95)</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257.44</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ROA</w:t>
            </w:r>
          </w:p>
        </w:tc>
        <w:tc>
          <w:tcPr>
            <w:tcW w:w="11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1,273</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0.07</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0.11</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0.22</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(4.25)</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0.67</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R&amp;D/Total Assets</w:t>
            </w:r>
          </w:p>
        </w:tc>
        <w:tc>
          <w:tcPr>
            <w:tcW w:w="11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1,339</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50</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30</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94</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1,683</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Tangible Assets/Total Assets</w:t>
            </w:r>
          </w:p>
        </w:tc>
        <w:tc>
          <w:tcPr>
            <w:tcW w:w="11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1,277</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0.13</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0.09</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0.13</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0.00</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0.89</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Leverage</w:t>
            </w:r>
          </w:p>
        </w:tc>
        <w:tc>
          <w:tcPr>
            <w:tcW w:w="11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1,270</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0.15</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0.12</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0.17</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1.70</w:t>
            </w:r>
          </w:p>
        </w:tc>
      </w:tr>
      <w:tr w:rsidR="00E472E5" w:rsidRPr="00A7624F" w:rsidTr="000D535F">
        <w:trPr>
          <w:trHeight w:val="315"/>
        </w:trPr>
        <w:tc>
          <w:tcPr>
            <w:tcW w:w="3040" w:type="dxa"/>
            <w:tcBorders>
              <w:top w:val="nil"/>
              <w:left w:val="nil"/>
              <w:bottom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Free Cash Flow</w:t>
            </w:r>
          </w:p>
        </w:tc>
        <w:tc>
          <w:tcPr>
            <w:tcW w:w="11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1,272</w:t>
            </w:r>
          </w:p>
        </w:tc>
        <w:tc>
          <w:tcPr>
            <w:tcW w:w="12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0.01</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0.08</w:t>
            </w:r>
          </w:p>
        </w:tc>
        <w:tc>
          <w:tcPr>
            <w:tcW w:w="112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0.38</w:t>
            </w:r>
          </w:p>
        </w:tc>
        <w:tc>
          <w:tcPr>
            <w:tcW w:w="100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(7.36)</w:t>
            </w:r>
          </w:p>
        </w:tc>
        <w:tc>
          <w:tcPr>
            <w:tcW w:w="1340" w:type="dxa"/>
            <w:tcBorders>
              <w:top w:val="nil"/>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0.72</w:t>
            </w:r>
          </w:p>
        </w:tc>
      </w:tr>
      <w:tr w:rsidR="00E472E5" w:rsidRPr="00A7624F" w:rsidTr="000D535F">
        <w:trPr>
          <w:trHeight w:val="315"/>
        </w:trPr>
        <w:tc>
          <w:tcPr>
            <w:tcW w:w="3040" w:type="dxa"/>
            <w:tcBorders>
              <w:top w:val="nil"/>
              <w:left w:val="nil"/>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Tobin's Q</w:t>
            </w:r>
          </w:p>
        </w:tc>
        <w:tc>
          <w:tcPr>
            <w:tcW w:w="1100" w:type="dxa"/>
            <w:tcBorders>
              <w:top w:val="nil"/>
              <w:left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1,273</w:t>
            </w:r>
          </w:p>
        </w:tc>
        <w:tc>
          <w:tcPr>
            <w:tcW w:w="1240" w:type="dxa"/>
            <w:tcBorders>
              <w:top w:val="nil"/>
              <w:left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2.93</w:t>
            </w:r>
          </w:p>
        </w:tc>
        <w:tc>
          <w:tcPr>
            <w:tcW w:w="1000" w:type="dxa"/>
            <w:tcBorders>
              <w:top w:val="nil"/>
              <w:left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2.00</w:t>
            </w:r>
          </w:p>
        </w:tc>
        <w:tc>
          <w:tcPr>
            <w:tcW w:w="1120" w:type="dxa"/>
            <w:tcBorders>
              <w:top w:val="nil"/>
              <w:left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4.58</w:t>
            </w:r>
          </w:p>
        </w:tc>
        <w:tc>
          <w:tcPr>
            <w:tcW w:w="1000" w:type="dxa"/>
            <w:tcBorders>
              <w:top w:val="nil"/>
              <w:left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0.26</w:t>
            </w:r>
          </w:p>
        </w:tc>
        <w:tc>
          <w:tcPr>
            <w:tcW w:w="1340" w:type="dxa"/>
            <w:tcBorders>
              <w:top w:val="nil"/>
              <w:left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78.56</w:t>
            </w:r>
          </w:p>
        </w:tc>
      </w:tr>
      <w:tr w:rsidR="00E472E5" w:rsidRPr="00A7624F" w:rsidTr="000D535F">
        <w:trPr>
          <w:trHeight w:val="315"/>
        </w:trPr>
        <w:tc>
          <w:tcPr>
            <w:tcW w:w="3040" w:type="dxa"/>
            <w:tcBorders>
              <w:top w:val="nil"/>
              <w:left w:val="nil"/>
              <w:bottom w:val="single" w:sz="4" w:space="0" w:color="auto"/>
              <w:right w:val="nil"/>
            </w:tcBorders>
            <w:shd w:val="clear" w:color="auto" w:fill="auto"/>
            <w:noWrap/>
            <w:vAlign w:val="center"/>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Cash/Total Assets</w:t>
            </w:r>
          </w:p>
        </w:tc>
        <w:tc>
          <w:tcPr>
            <w:tcW w:w="110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1,280</w:t>
            </w:r>
          </w:p>
        </w:tc>
        <w:tc>
          <w:tcPr>
            <w:tcW w:w="124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0.28</w:t>
            </w:r>
          </w:p>
        </w:tc>
        <w:tc>
          <w:tcPr>
            <w:tcW w:w="100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0.23</w:t>
            </w:r>
          </w:p>
        </w:tc>
        <w:tc>
          <w:tcPr>
            <w:tcW w:w="112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0.20</w:t>
            </w:r>
          </w:p>
        </w:tc>
        <w:tc>
          <w:tcPr>
            <w:tcW w:w="100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0.00</w:t>
            </w:r>
          </w:p>
        </w:tc>
        <w:tc>
          <w:tcPr>
            <w:tcW w:w="1340" w:type="dxa"/>
            <w:tcBorders>
              <w:top w:val="nil"/>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0.92</w:t>
            </w:r>
          </w:p>
        </w:tc>
      </w:tr>
    </w:tbl>
    <w:p w:rsidR="00E472E5" w:rsidRPr="00A7624F" w:rsidRDefault="00E472E5" w:rsidP="00E472E5">
      <w:pPr>
        <w:rPr>
          <w:rFonts w:ascii="Times New Roman" w:hAnsi="Times New Roman"/>
          <w:sz w:val="24"/>
          <w:szCs w:val="24"/>
        </w:rPr>
      </w:pPr>
    </w:p>
    <w:p w:rsidR="00E472E5" w:rsidRPr="00A7624F" w:rsidRDefault="00E472E5" w:rsidP="00E472E5">
      <w:pPr>
        <w:rPr>
          <w:rFonts w:ascii="Times New Roman" w:hAnsi="Times New Roman"/>
          <w:sz w:val="24"/>
          <w:szCs w:val="24"/>
        </w:rPr>
      </w:pPr>
      <w:r w:rsidRPr="00A7624F">
        <w:rPr>
          <w:rFonts w:ascii="Times New Roman" w:hAnsi="Times New Roman"/>
          <w:sz w:val="24"/>
          <w:szCs w:val="24"/>
        </w:rPr>
        <w:br w:type="page"/>
      </w:r>
    </w:p>
    <w:p w:rsidR="00E472E5" w:rsidRPr="00A7624F" w:rsidRDefault="00E472E5" w:rsidP="00E472E5">
      <w:pPr>
        <w:rPr>
          <w:rFonts w:ascii="Times New Roman" w:hAnsi="Times New Roman"/>
          <w:b/>
          <w:sz w:val="24"/>
          <w:szCs w:val="24"/>
        </w:rPr>
      </w:pPr>
      <w:r w:rsidRPr="00A7624F">
        <w:rPr>
          <w:rFonts w:ascii="Times New Roman" w:hAnsi="Times New Roman"/>
          <w:b/>
          <w:sz w:val="24"/>
          <w:szCs w:val="24"/>
        </w:rPr>
        <w:lastRenderedPageBreak/>
        <w:t xml:space="preserve">Table 4: Univariate Analysis of Merger Announcement Effect </w:t>
      </w:r>
    </w:p>
    <w:tbl>
      <w:tblPr>
        <w:tblW w:w="8460" w:type="dxa"/>
        <w:tblLook w:val="04A0" w:firstRow="1" w:lastRow="0" w:firstColumn="1" w:lastColumn="0" w:noHBand="0" w:noVBand="1"/>
      </w:tblPr>
      <w:tblGrid>
        <w:gridCol w:w="3408"/>
        <w:gridCol w:w="1410"/>
        <w:gridCol w:w="1463"/>
        <w:gridCol w:w="2179"/>
      </w:tblGrid>
      <w:tr w:rsidR="00E472E5" w:rsidRPr="00A7624F" w:rsidTr="000D535F">
        <w:trPr>
          <w:trHeight w:val="315"/>
        </w:trPr>
        <w:tc>
          <w:tcPr>
            <w:tcW w:w="3408"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sz w:val="24"/>
                <w:szCs w:val="24"/>
              </w:rPr>
            </w:pPr>
          </w:p>
        </w:tc>
        <w:tc>
          <w:tcPr>
            <w:tcW w:w="1410"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N</w:t>
            </w:r>
          </w:p>
        </w:tc>
        <w:tc>
          <w:tcPr>
            <w:tcW w:w="1463"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Mean</w:t>
            </w:r>
          </w:p>
        </w:tc>
        <w:tc>
          <w:tcPr>
            <w:tcW w:w="2179" w:type="dxa"/>
            <w:tcBorders>
              <w:top w:val="single" w:sz="4" w:space="0" w:color="auto"/>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Std. Error</w:t>
            </w:r>
          </w:p>
        </w:tc>
      </w:tr>
      <w:tr w:rsidR="00E472E5" w:rsidRPr="00A7624F" w:rsidTr="000D535F">
        <w:trPr>
          <w:trHeight w:val="315"/>
        </w:trPr>
        <w:tc>
          <w:tcPr>
            <w:tcW w:w="3408"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Third-party Acquirers</w:t>
            </w:r>
          </w:p>
        </w:tc>
        <w:tc>
          <w:tcPr>
            <w:tcW w:w="1410"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1,295</w:t>
            </w:r>
          </w:p>
        </w:tc>
        <w:tc>
          <w:tcPr>
            <w:tcW w:w="1463"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0.0064</w:t>
            </w:r>
          </w:p>
        </w:tc>
        <w:tc>
          <w:tcPr>
            <w:tcW w:w="2179" w:type="dxa"/>
            <w:tcBorders>
              <w:top w:val="single" w:sz="4" w:space="0" w:color="auto"/>
              <w:left w:val="nil"/>
              <w:bottom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0.0023</w:t>
            </w:r>
          </w:p>
        </w:tc>
      </w:tr>
      <w:tr w:rsidR="00E472E5" w:rsidRPr="00A7624F" w:rsidTr="000D535F">
        <w:trPr>
          <w:trHeight w:val="315"/>
        </w:trPr>
        <w:tc>
          <w:tcPr>
            <w:tcW w:w="3408" w:type="dxa"/>
            <w:tcBorders>
              <w:top w:val="nil"/>
              <w:left w:val="nil"/>
              <w:right w:val="nil"/>
            </w:tcBorders>
            <w:shd w:val="clear" w:color="auto" w:fill="auto"/>
            <w:noWrap/>
            <w:vAlign w:val="bottom"/>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CVC Acquirers</w:t>
            </w:r>
          </w:p>
        </w:tc>
        <w:tc>
          <w:tcPr>
            <w:tcW w:w="1410" w:type="dxa"/>
            <w:tcBorders>
              <w:top w:val="nil"/>
              <w:left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135</w:t>
            </w:r>
          </w:p>
        </w:tc>
        <w:tc>
          <w:tcPr>
            <w:tcW w:w="1463" w:type="dxa"/>
            <w:tcBorders>
              <w:top w:val="nil"/>
              <w:left w:val="nil"/>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-0.0015</w:t>
            </w:r>
          </w:p>
        </w:tc>
        <w:tc>
          <w:tcPr>
            <w:tcW w:w="2179" w:type="dxa"/>
            <w:tcBorders>
              <w:top w:val="nil"/>
              <w:left w:val="nil"/>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0.0034</w:t>
            </w:r>
          </w:p>
        </w:tc>
      </w:tr>
      <w:tr w:rsidR="00E472E5" w:rsidRPr="00A7624F" w:rsidTr="000D535F">
        <w:trPr>
          <w:trHeight w:val="315"/>
        </w:trPr>
        <w:tc>
          <w:tcPr>
            <w:tcW w:w="3408" w:type="dxa"/>
            <w:tcBorders>
              <w:left w:val="nil"/>
            </w:tcBorders>
            <w:shd w:val="clear" w:color="auto" w:fill="auto"/>
            <w:noWrap/>
            <w:vAlign w:val="bottom"/>
          </w:tcPr>
          <w:p w:rsidR="00E472E5" w:rsidRPr="00A7624F" w:rsidRDefault="00E472E5" w:rsidP="000D535F">
            <w:pPr>
              <w:spacing w:after="0" w:line="240" w:lineRule="auto"/>
              <w:rPr>
                <w:rFonts w:ascii="Times New Roman" w:eastAsia="Times New Roman" w:hAnsi="Times New Roman"/>
                <w:color w:val="000000"/>
                <w:sz w:val="24"/>
                <w:szCs w:val="24"/>
              </w:rPr>
            </w:pPr>
          </w:p>
        </w:tc>
        <w:tc>
          <w:tcPr>
            <w:tcW w:w="1410" w:type="dxa"/>
            <w:shd w:val="clear" w:color="auto" w:fill="auto"/>
            <w:noWrap/>
            <w:vAlign w:val="bottom"/>
          </w:tcPr>
          <w:p w:rsidR="00E472E5" w:rsidRPr="00A7624F" w:rsidRDefault="00E472E5" w:rsidP="000D535F">
            <w:pPr>
              <w:spacing w:after="0" w:line="240" w:lineRule="auto"/>
              <w:jc w:val="right"/>
              <w:rPr>
                <w:rFonts w:ascii="Times New Roman" w:eastAsia="Times New Roman" w:hAnsi="Times New Roman"/>
                <w:color w:val="000000"/>
                <w:sz w:val="24"/>
                <w:szCs w:val="24"/>
              </w:rPr>
            </w:pPr>
          </w:p>
        </w:tc>
        <w:tc>
          <w:tcPr>
            <w:tcW w:w="1463" w:type="dxa"/>
            <w:shd w:val="clear" w:color="auto" w:fill="auto"/>
            <w:noWrap/>
            <w:vAlign w:val="bottom"/>
          </w:tcPr>
          <w:p w:rsidR="00E472E5" w:rsidRPr="00A7624F" w:rsidRDefault="00E472E5" w:rsidP="000D535F">
            <w:pPr>
              <w:spacing w:after="0" w:line="240" w:lineRule="auto"/>
              <w:jc w:val="right"/>
              <w:rPr>
                <w:rFonts w:ascii="Times New Roman" w:eastAsia="Times New Roman" w:hAnsi="Times New Roman"/>
                <w:color w:val="000000"/>
                <w:sz w:val="24"/>
                <w:szCs w:val="24"/>
              </w:rPr>
            </w:pPr>
          </w:p>
        </w:tc>
        <w:tc>
          <w:tcPr>
            <w:tcW w:w="2179" w:type="dxa"/>
            <w:tcBorders>
              <w:right w:val="nil"/>
            </w:tcBorders>
            <w:shd w:val="clear" w:color="auto" w:fill="auto"/>
            <w:noWrap/>
            <w:vAlign w:val="bottom"/>
          </w:tcPr>
          <w:p w:rsidR="00E472E5" w:rsidRPr="00A7624F" w:rsidRDefault="00E472E5" w:rsidP="000D535F">
            <w:pPr>
              <w:spacing w:after="0" w:line="240" w:lineRule="auto"/>
              <w:jc w:val="center"/>
              <w:rPr>
                <w:rFonts w:ascii="Times New Roman" w:eastAsia="Times New Roman" w:hAnsi="Times New Roman"/>
                <w:color w:val="000000"/>
                <w:sz w:val="24"/>
                <w:szCs w:val="24"/>
              </w:rPr>
            </w:pPr>
          </w:p>
        </w:tc>
      </w:tr>
      <w:tr w:rsidR="00E472E5" w:rsidRPr="00A7624F" w:rsidTr="000D535F">
        <w:trPr>
          <w:trHeight w:val="315"/>
        </w:trPr>
        <w:tc>
          <w:tcPr>
            <w:tcW w:w="3408" w:type="dxa"/>
            <w:tcBorders>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Difference</w:t>
            </w:r>
          </w:p>
        </w:tc>
        <w:tc>
          <w:tcPr>
            <w:tcW w:w="1410" w:type="dxa"/>
            <w:tcBorders>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rPr>
                <w:rFonts w:ascii="Times New Roman" w:eastAsia="Times New Roman" w:hAnsi="Times New Roman"/>
                <w:color w:val="000000"/>
                <w:sz w:val="24"/>
                <w:szCs w:val="24"/>
              </w:rPr>
            </w:pPr>
          </w:p>
        </w:tc>
        <w:tc>
          <w:tcPr>
            <w:tcW w:w="1463" w:type="dxa"/>
            <w:tcBorders>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right"/>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0.00782</w:t>
            </w:r>
            <w:r w:rsidRPr="00A7624F">
              <w:rPr>
                <w:rFonts w:ascii="Times New Roman" w:eastAsia="Times New Roman" w:hAnsi="Times New Roman"/>
                <w:color w:val="000000"/>
                <w:sz w:val="24"/>
                <w:szCs w:val="24"/>
                <w:vertAlign w:val="superscript"/>
              </w:rPr>
              <w:t>**</w:t>
            </w:r>
          </w:p>
        </w:tc>
        <w:tc>
          <w:tcPr>
            <w:tcW w:w="2179" w:type="dxa"/>
            <w:tcBorders>
              <w:left w:val="nil"/>
              <w:bottom w:val="single" w:sz="4" w:space="0" w:color="auto"/>
              <w:right w:val="nil"/>
            </w:tcBorders>
            <w:shd w:val="clear" w:color="auto" w:fill="auto"/>
            <w:noWrap/>
            <w:vAlign w:val="bottom"/>
            <w:hideMark/>
          </w:tcPr>
          <w:p w:rsidR="00E472E5" w:rsidRPr="00A7624F" w:rsidRDefault="00E472E5" w:rsidP="000D535F">
            <w:pPr>
              <w:spacing w:after="0" w:line="240" w:lineRule="auto"/>
              <w:jc w:val="center"/>
              <w:rPr>
                <w:rFonts w:ascii="Times New Roman" w:eastAsia="Times New Roman" w:hAnsi="Times New Roman"/>
                <w:color w:val="000000"/>
                <w:sz w:val="24"/>
                <w:szCs w:val="24"/>
              </w:rPr>
            </w:pPr>
            <w:r w:rsidRPr="00A7624F">
              <w:rPr>
                <w:rFonts w:ascii="Times New Roman" w:eastAsia="Times New Roman" w:hAnsi="Times New Roman"/>
                <w:color w:val="000000"/>
                <w:sz w:val="24"/>
                <w:szCs w:val="24"/>
              </w:rPr>
              <w:t>0.004091</w:t>
            </w:r>
          </w:p>
        </w:tc>
      </w:tr>
    </w:tbl>
    <w:p w:rsidR="00E472E5" w:rsidRPr="00A7624F" w:rsidRDefault="00E472E5" w:rsidP="00E472E5">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 p&lt;0.01, ** p&lt;0.05, * p&lt;0.1</w:t>
      </w:r>
    </w:p>
    <w:p w:rsidR="00E472E5" w:rsidRPr="00A7624F" w:rsidRDefault="00E472E5" w:rsidP="00E472E5">
      <w:pPr>
        <w:rPr>
          <w:rFonts w:ascii="Times New Roman" w:hAnsi="Times New Roman"/>
          <w:b/>
          <w:sz w:val="24"/>
          <w:szCs w:val="24"/>
        </w:rPr>
      </w:pPr>
      <w:r w:rsidRPr="00A7624F">
        <w:rPr>
          <w:rFonts w:ascii="Times New Roman" w:hAnsi="Times New Roman"/>
          <w:sz w:val="24"/>
          <w:szCs w:val="24"/>
        </w:rPr>
        <w:br w:type="page"/>
      </w:r>
      <w:r w:rsidRPr="00A7624F">
        <w:rPr>
          <w:rFonts w:ascii="Times New Roman" w:hAnsi="Times New Roman"/>
          <w:b/>
          <w:sz w:val="24"/>
          <w:szCs w:val="24"/>
        </w:rPr>
        <w:lastRenderedPageBreak/>
        <w:t>Table 5: Multivariate Analysis of Merger Announcement Effect</w:t>
      </w:r>
    </w:p>
    <w:tbl>
      <w:tblPr>
        <w:tblW w:w="0" w:type="auto"/>
        <w:jc w:val="center"/>
        <w:tblLayout w:type="fixed"/>
        <w:tblCellMar>
          <w:left w:w="75" w:type="dxa"/>
          <w:right w:w="75" w:type="dxa"/>
        </w:tblCellMar>
        <w:tblLook w:val="0000" w:firstRow="0" w:lastRow="0" w:firstColumn="0" w:lastColumn="0" w:noHBand="0" w:noVBand="0"/>
      </w:tblPr>
      <w:tblGrid>
        <w:gridCol w:w="4250"/>
        <w:gridCol w:w="2016"/>
      </w:tblGrid>
      <w:tr w:rsidR="00E472E5" w:rsidRPr="00A7624F" w:rsidTr="000D535F">
        <w:trPr>
          <w:jc w:val="center"/>
        </w:trPr>
        <w:tc>
          <w:tcPr>
            <w:tcW w:w="4250" w:type="dxa"/>
            <w:tcBorders>
              <w:top w:val="single" w:sz="6" w:space="0" w:color="auto"/>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p>
        </w:tc>
        <w:tc>
          <w:tcPr>
            <w:tcW w:w="2016" w:type="dxa"/>
            <w:tcBorders>
              <w:top w:val="single" w:sz="6" w:space="0" w:color="auto"/>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p>
        </w:tc>
      </w:tr>
      <w:tr w:rsidR="00E472E5" w:rsidRPr="00A7624F" w:rsidTr="000D535F">
        <w:trPr>
          <w:jc w:val="center"/>
        </w:trPr>
        <w:tc>
          <w:tcPr>
            <w:tcW w:w="4250"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r w:rsidRPr="00A7624F">
              <w:rPr>
                <w:rFonts w:ascii="Times New Roman" w:hAnsi="Times New Roman"/>
              </w:rPr>
              <w:t xml:space="preserve">Dependent variable: </w:t>
            </w:r>
            <w:proofErr w:type="gramStart"/>
            <w:r w:rsidRPr="00A7624F">
              <w:rPr>
                <w:rFonts w:ascii="Times New Roman" w:hAnsi="Times New Roman"/>
              </w:rPr>
              <w:t>CAR(</w:t>
            </w:r>
            <w:proofErr w:type="gramEnd"/>
            <w:r w:rsidRPr="00A7624F">
              <w:rPr>
                <w:rFonts w:ascii="Times New Roman" w:hAnsi="Times New Roman"/>
              </w:rPr>
              <w:t>-1,0,1)</w:t>
            </w:r>
          </w:p>
        </w:tc>
        <w:tc>
          <w:tcPr>
            <w:tcW w:w="2016"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Pooled Sample</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r w:rsidRPr="00A7624F">
              <w:rPr>
                <w:rFonts w:ascii="Times New Roman" w:hAnsi="Times New Roman"/>
                <w:sz w:val="24"/>
                <w:szCs w:val="24"/>
              </w:rPr>
              <w:t>Acquirer is CVC investor of target</w:t>
            </w: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-0.0124**</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(0.0051)</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r w:rsidRPr="00A7624F">
              <w:rPr>
                <w:rFonts w:ascii="Times New Roman" w:hAnsi="Times New Roman"/>
              </w:rPr>
              <w:t>R&amp;D Intensity</w:t>
            </w: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0.0053</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(0.0035)</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r w:rsidRPr="00A7624F">
              <w:rPr>
                <w:rFonts w:ascii="Times New Roman" w:hAnsi="Times New Roman"/>
                <w:sz w:val="24"/>
                <w:szCs w:val="24"/>
              </w:rPr>
              <w:t>Size</w:t>
            </w: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-0.0003</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(0.0009)</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r w:rsidRPr="00A7624F">
              <w:rPr>
                <w:rFonts w:ascii="Times New Roman" w:hAnsi="Times New Roman"/>
                <w:sz w:val="24"/>
                <w:szCs w:val="24"/>
              </w:rPr>
              <w:t>Tobin’s Q</w:t>
            </w: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0.0012***</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(0.0004)</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r w:rsidRPr="00A7624F">
              <w:rPr>
                <w:rFonts w:ascii="Times New Roman" w:hAnsi="Times New Roman"/>
              </w:rPr>
              <w:t>Cash/Total Assets</w:t>
            </w: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0.0038</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(0.0187)</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r w:rsidRPr="00A7624F">
              <w:rPr>
                <w:rFonts w:ascii="Times New Roman" w:hAnsi="Times New Roman"/>
              </w:rPr>
              <w:t>Target Age</w:t>
            </w: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0.0001</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(0.0002)</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r w:rsidRPr="00A7624F">
              <w:rPr>
                <w:rFonts w:ascii="Times New Roman" w:hAnsi="Times New Roman"/>
              </w:rPr>
              <w:t>In IT</w:t>
            </w: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-0.0102</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(0.0073)</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r w:rsidRPr="00A7624F">
              <w:rPr>
                <w:rFonts w:ascii="Times New Roman" w:hAnsi="Times New Roman"/>
              </w:rPr>
              <w:t>Target &amp; acquirer in related industries</w:t>
            </w: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-0.0020</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(0.0070)</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r w:rsidRPr="00A7624F">
              <w:rPr>
                <w:rFonts w:ascii="Times New Roman" w:hAnsi="Times New Roman"/>
                <w:sz w:val="24"/>
                <w:szCs w:val="24"/>
              </w:rPr>
              <w:t>Constant</w:t>
            </w: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0.0096</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(0.0098)</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r w:rsidRPr="00A7624F">
              <w:rPr>
                <w:rFonts w:ascii="Times New Roman" w:hAnsi="Times New Roman"/>
                <w:sz w:val="24"/>
                <w:szCs w:val="24"/>
              </w:rPr>
              <w:t>Observations</w:t>
            </w: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1,375</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r w:rsidRPr="00A7624F">
              <w:rPr>
                <w:rFonts w:ascii="Times New Roman" w:hAnsi="Times New Roman"/>
                <w:sz w:val="24"/>
                <w:szCs w:val="24"/>
              </w:rPr>
              <w:t>R-squared</w:t>
            </w: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0.0121</w:t>
            </w:r>
          </w:p>
        </w:tc>
      </w:tr>
      <w:tr w:rsidR="00E472E5" w:rsidRPr="00A7624F" w:rsidTr="000D535F">
        <w:trPr>
          <w:jc w:val="center"/>
        </w:trPr>
        <w:tc>
          <w:tcPr>
            <w:tcW w:w="42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r w:rsidRPr="00A7624F">
              <w:rPr>
                <w:rFonts w:ascii="Times New Roman" w:hAnsi="Times New Roman"/>
                <w:sz w:val="24"/>
                <w:szCs w:val="24"/>
              </w:rPr>
              <w:t>Number of Merger Years</w:t>
            </w:r>
          </w:p>
        </w:tc>
        <w:tc>
          <w:tcPr>
            <w:tcW w:w="20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32</w:t>
            </w:r>
          </w:p>
        </w:tc>
      </w:tr>
      <w:tr w:rsidR="00E472E5" w:rsidRPr="00A7624F" w:rsidTr="000D535F">
        <w:tblPrEx>
          <w:tblBorders>
            <w:bottom w:val="single" w:sz="6" w:space="0" w:color="auto"/>
          </w:tblBorders>
        </w:tblPrEx>
        <w:trPr>
          <w:jc w:val="center"/>
        </w:trPr>
        <w:tc>
          <w:tcPr>
            <w:tcW w:w="4250"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sz w:val="24"/>
                <w:szCs w:val="24"/>
              </w:rPr>
            </w:pPr>
            <w:r w:rsidRPr="00A7624F">
              <w:rPr>
                <w:rFonts w:ascii="Times New Roman" w:hAnsi="Times New Roman"/>
                <w:sz w:val="24"/>
                <w:szCs w:val="24"/>
              </w:rPr>
              <w:t>Year Fixed Effects</w:t>
            </w:r>
          </w:p>
        </w:tc>
        <w:tc>
          <w:tcPr>
            <w:tcW w:w="2016"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YES</w:t>
            </w:r>
          </w:p>
        </w:tc>
      </w:tr>
    </w:tbl>
    <w:p w:rsidR="00E472E5" w:rsidRPr="00A7624F" w:rsidRDefault="00E472E5" w:rsidP="00E472E5">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Robust standard errors in parentheses</w:t>
      </w:r>
    </w:p>
    <w:p w:rsidR="00E472E5" w:rsidRPr="00A7624F" w:rsidRDefault="00E472E5" w:rsidP="00E472E5">
      <w:pPr>
        <w:widowControl w:val="0"/>
        <w:autoSpaceDE w:val="0"/>
        <w:autoSpaceDN w:val="0"/>
        <w:adjustRightInd w:val="0"/>
        <w:spacing w:after="0" w:line="240" w:lineRule="auto"/>
        <w:jc w:val="center"/>
        <w:rPr>
          <w:rFonts w:ascii="Times New Roman" w:hAnsi="Times New Roman"/>
          <w:sz w:val="24"/>
          <w:szCs w:val="24"/>
        </w:rPr>
      </w:pPr>
      <w:r w:rsidRPr="00A7624F">
        <w:rPr>
          <w:rFonts w:ascii="Times New Roman" w:hAnsi="Times New Roman"/>
          <w:sz w:val="24"/>
          <w:szCs w:val="24"/>
        </w:rPr>
        <w:t>*** p&lt;0.01, ** p&lt;0.05, * p&lt;0.1</w:t>
      </w:r>
    </w:p>
    <w:p w:rsidR="00E472E5" w:rsidRPr="00A7624F" w:rsidRDefault="00E472E5" w:rsidP="00E472E5">
      <w:pPr>
        <w:rPr>
          <w:rFonts w:ascii="Times New Roman" w:hAnsi="Times New Roman"/>
          <w:sz w:val="24"/>
          <w:szCs w:val="24"/>
        </w:rPr>
        <w:sectPr w:rsidR="00E472E5" w:rsidRPr="00A7624F">
          <w:footerReference w:type="default" r:id="rId10"/>
          <w:pgSz w:w="12240" w:h="15840"/>
          <w:pgMar w:top="1440" w:right="1440" w:bottom="1440" w:left="1440" w:header="720" w:footer="720" w:gutter="0"/>
          <w:cols w:space="720"/>
          <w:docGrid w:linePitch="360"/>
        </w:sectPr>
      </w:pPr>
    </w:p>
    <w:p w:rsidR="00E472E5" w:rsidRPr="00A7624F" w:rsidRDefault="00E472E5" w:rsidP="00E472E5">
      <w:pPr>
        <w:widowControl w:val="0"/>
        <w:autoSpaceDE w:val="0"/>
        <w:autoSpaceDN w:val="0"/>
        <w:adjustRightInd w:val="0"/>
        <w:spacing w:after="0" w:line="240" w:lineRule="auto"/>
        <w:jc w:val="center"/>
        <w:rPr>
          <w:rFonts w:ascii="Times New Roman" w:hAnsi="Times New Roman"/>
          <w:b/>
          <w:sz w:val="24"/>
          <w:szCs w:val="24"/>
        </w:rPr>
      </w:pPr>
      <w:r w:rsidRPr="00A7624F">
        <w:rPr>
          <w:rFonts w:ascii="Times New Roman" w:hAnsi="Times New Roman"/>
          <w:b/>
          <w:sz w:val="24"/>
          <w:szCs w:val="24"/>
        </w:rPr>
        <w:lastRenderedPageBreak/>
        <w:t xml:space="preserve">Table 6: CVC Investor Competition, Acquirer Research Capability, and Merger Announcement Effect </w:t>
      </w:r>
    </w:p>
    <w:tbl>
      <w:tblPr>
        <w:tblpPr w:leftFromText="180" w:rightFromText="180" w:horzAnchor="margin" w:tblpXSpec="center" w:tblpY="465"/>
        <w:tblW w:w="13071" w:type="dxa"/>
        <w:tblLayout w:type="fixed"/>
        <w:tblCellMar>
          <w:left w:w="75" w:type="dxa"/>
          <w:right w:w="75" w:type="dxa"/>
        </w:tblCellMar>
        <w:tblLook w:val="0000" w:firstRow="0" w:lastRow="0" w:firstColumn="0" w:lastColumn="0" w:noHBand="0" w:noVBand="0"/>
      </w:tblPr>
      <w:tblGrid>
        <w:gridCol w:w="4035"/>
        <w:gridCol w:w="1506"/>
        <w:gridCol w:w="1506"/>
        <w:gridCol w:w="1506"/>
        <w:gridCol w:w="1506"/>
        <w:gridCol w:w="1506"/>
        <w:gridCol w:w="1506"/>
      </w:tblGrid>
      <w:tr w:rsidR="00E472E5" w:rsidRPr="00A7624F" w:rsidTr="000D535F">
        <w:trPr>
          <w:trHeight w:val="271"/>
        </w:trPr>
        <w:tc>
          <w:tcPr>
            <w:tcW w:w="4035" w:type="dxa"/>
            <w:tcBorders>
              <w:top w:val="single" w:sz="6" w:space="0" w:color="auto"/>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506" w:type="dxa"/>
            <w:tcBorders>
              <w:top w:val="single" w:sz="6" w:space="0" w:color="auto"/>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(1)</w:t>
            </w:r>
          </w:p>
        </w:tc>
        <w:tc>
          <w:tcPr>
            <w:tcW w:w="1506" w:type="dxa"/>
            <w:tcBorders>
              <w:top w:val="single" w:sz="6" w:space="0" w:color="auto"/>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(2)</w:t>
            </w:r>
          </w:p>
        </w:tc>
        <w:tc>
          <w:tcPr>
            <w:tcW w:w="1506" w:type="dxa"/>
            <w:tcBorders>
              <w:top w:val="single" w:sz="6" w:space="0" w:color="auto"/>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(3)</w:t>
            </w:r>
          </w:p>
        </w:tc>
        <w:tc>
          <w:tcPr>
            <w:tcW w:w="1506" w:type="dxa"/>
            <w:tcBorders>
              <w:top w:val="single" w:sz="6" w:space="0" w:color="auto"/>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(4)</w:t>
            </w:r>
          </w:p>
        </w:tc>
        <w:tc>
          <w:tcPr>
            <w:tcW w:w="1506" w:type="dxa"/>
            <w:tcBorders>
              <w:top w:val="single" w:sz="6" w:space="0" w:color="auto"/>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(5)</w:t>
            </w:r>
          </w:p>
        </w:tc>
        <w:tc>
          <w:tcPr>
            <w:tcW w:w="1506" w:type="dxa"/>
            <w:tcBorders>
              <w:top w:val="single" w:sz="6" w:space="0" w:color="auto"/>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(6)</w:t>
            </w:r>
          </w:p>
        </w:tc>
      </w:tr>
      <w:tr w:rsidR="00E472E5" w:rsidRPr="00A7624F" w:rsidTr="000D535F">
        <w:trPr>
          <w:trHeight w:val="271"/>
        </w:trPr>
        <w:tc>
          <w:tcPr>
            <w:tcW w:w="4035"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 xml:space="preserve">Dependent variable: </w:t>
            </w:r>
            <w:proofErr w:type="gramStart"/>
            <w:r w:rsidRPr="00A7624F">
              <w:rPr>
                <w:rFonts w:ascii="Times New Roman" w:hAnsi="Times New Roman"/>
              </w:rPr>
              <w:t>CAR(</w:t>
            </w:r>
            <w:proofErr w:type="gramEnd"/>
            <w:r w:rsidRPr="00A7624F">
              <w:rPr>
                <w:rFonts w:ascii="Times New Roman" w:hAnsi="Times New Roman"/>
              </w:rPr>
              <w:t>-1,0,1)</w:t>
            </w:r>
          </w:p>
        </w:tc>
        <w:tc>
          <w:tcPr>
            <w:tcW w:w="1506"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CVC Acquirers</w:t>
            </w:r>
          </w:p>
        </w:tc>
        <w:tc>
          <w:tcPr>
            <w:tcW w:w="1506"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CVC Acquirers</w:t>
            </w:r>
          </w:p>
        </w:tc>
        <w:tc>
          <w:tcPr>
            <w:tcW w:w="1506"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CVC Acquirers</w:t>
            </w:r>
          </w:p>
        </w:tc>
        <w:tc>
          <w:tcPr>
            <w:tcW w:w="1506"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Third-party Acquirers</w:t>
            </w:r>
          </w:p>
        </w:tc>
        <w:tc>
          <w:tcPr>
            <w:tcW w:w="1506"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Third-party Acquirers</w:t>
            </w:r>
          </w:p>
        </w:tc>
        <w:tc>
          <w:tcPr>
            <w:tcW w:w="1506"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Third-party Acquirers</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r>
      <w:tr w:rsidR="00E472E5" w:rsidRPr="00A7624F" w:rsidTr="000D535F">
        <w:trPr>
          <w:trHeight w:val="255"/>
        </w:trPr>
        <w:tc>
          <w:tcPr>
            <w:tcW w:w="4035" w:type="dxa"/>
            <w:tcBorders>
              <w:top w:val="nil"/>
              <w:left w:val="nil"/>
              <w:bottom w:val="nil"/>
              <w:right w:val="nil"/>
            </w:tcBorders>
          </w:tcPr>
          <w:p w:rsidR="00E472E5" w:rsidRPr="00A7624F" w:rsidRDefault="00E472E5" w:rsidP="000D535F">
            <w:pPr>
              <w:widowControl w:val="0"/>
              <w:tabs>
                <w:tab w:val="left" w:pos="2295"/>
              </w:tabs>
              <w:autoSpaceDE w:val="0"/>
              <w:autoSpaceDN w:val="0"/>
              <w:adjustRightInd w:val="0"/>
              <w:spacing w:after="0" w:line="240" w:lineRule="auto"/>
              <w:rPr>
                <w:rFonts w:ascii="Times New Roman" w:hAnsi="Times New Roman"/>
              </w:rPr>
            </w:pPr>
            <w:r w:rsidRPr="00A7624F">
              <w:rPr>
                <w:rFonts w:ascii="Times New Roman" w:hAnsi="Times New Roman"/>
              </w:rPr>
              <w:t>Major CVC Investor</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0.0016</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0.0159*</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0.0063</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0.0114**</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(0.0092)</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(0.0089)</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(0.0054)</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(0.0055)</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R&amp;D Intensity</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-0.0049*</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-0.0049**</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0.0083***</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0.0070**</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0.0072**</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0.0091***</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(0.0025)</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(0.0024)</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(0.0019)</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(0.0030)</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(0.0031)</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(0.0028)</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Major CVC Investor × R&amp;D Intensity</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-0.0167***</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-0.0109**</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(0.0033)</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(0.0049)</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Cash/Total Assets</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0.0203</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0.0199</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0.0187</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-0.0003</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0.0007</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0.0009</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(0.0271)</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(0.0283)</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(0.0294)</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(0.0176)</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(0.0171)</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(0.0170)</w:t>
            </w:r>
          </w:p>
        </w:tc>
      </w:tr>
      <w:tr w:rsidR="00E472E5" w:rsidRPr="00A7624F" w:rsidTr="000D535F">
        <w:trPr>
          <w:trHeight w:val="255"/>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Size</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-0.0048</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-0.0047</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-0.0049</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-0.0003</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-0.0002</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-0.0002</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(0.0032)</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(0.0033)</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(0.0033)</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(0.0010)</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(0.0010)</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(0.0010)</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Tobin’s Q</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-0.0003</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-0.0003</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-0.0007</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0.0012**</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0.0012**</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0.0012**</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(0.0006)</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(0.0006)</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(0.0007)</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(0.0005)</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(0.0005)</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(0.0005)</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Target Age</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-0.0023</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-0.0023</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-0.0020</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0.0001</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0.0001</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0.0001</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(0.0013)</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(0.0013)</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(0.0015)</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(0.0002)</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(0.0002)</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(0.0002)</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In IT</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-0.0059</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-0.0059</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-0.0079</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-0.0097</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-0.0096</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-0.0092</w:t>
            </w:r>
          </w:p>
        </w:tc>
      </w:tr>
      <w:tr w:rsidR="00E472E5" w:rsidRPr="00A7624F" w:rsidTr="000D535F">
        <w:trPr>
          <w:trHeight w:val="255"/>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(0.0089)</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(0.0090)</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(0.0096)</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(0.0076)</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(0.0076)</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(0.0075)</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Target &amp; acquirer in related industries</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0.0085</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0.0089</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0.0079</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-0.0030</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-0.0028</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-0.0025</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(0.0082)</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(0.0098)</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(0.0097)</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(0.0076)</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(0.0077)</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(0.0076)</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Constant</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0.0534</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0.0524</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0.0467</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0.0092</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0.0062</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0.0046</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(0.0340)</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(0.0359)</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(0.0372)</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(0.0102)</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(0.0105)</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(0.0103)</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Observations</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131</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131</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131</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1,244</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1,244</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1,244</w:t>
            </w:r>
          </w:p>
        </w:tc>
      </w:tr>
      <w:tr w:rsidR="00E472E5" w:rsidRPr="00A7624F" w:rsidTr="000D535F">
        <w:trPr>
          <w:trHeight w:val="255"/>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R-squared</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0.1002</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0.1041</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0.1718</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0.0120</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0.0129</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0.0146</w:t>
            </w:r>
          </w:p>
        </w:tc>
      </w:tr>
      <w:tr w:rsidR="00E472E5" w:rsidRPr="00A7624F" w:rsidTr="000D535F">
        <w:trPr>
          <w:trHeight w:val="271"/>
        </w:trPr>
        <w:tc>
          <w:tcPr>
            <w:tcW w:w="4035"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Number of Merger Years</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28</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28</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28</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32</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32</w:t>
            </w:r>
          </w:p>
        </w:tc>
        <w:tc>
          <w:tcPr>
            <w:tcW w:w="150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32</w:t>
            </w:r>
          </w:p>
        </w:tc>
      </w:tr>
      <w:tr w:rsidR="00E472E5" w:rsidRPr="00A7624F" w:rsidTr="000D535F">
        <w:tblPrEx>
          <w:tblBorders>
            <w:bottom w:val="single" w:sz="6" w:space="0" w:color="auto"/>
          </w:tblBorders>
        </w:tblPrEx>
        <w:trPr>
          <w:trHeight w:val="271"/>
        </w:trPr>
        <w:tc>
          <w:tcPr>
            <w:tcW w:w="4035"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Year Fixed Effects</w:t>
            </w:r>
          </w:p>
        </w:tc>
        <w:tc>
          <w:tcPr>
            <w:tcW w:w="1506"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YES</w:t>
            </w:r>
          </w:p>
        </w:tc>
        <w:tc>
          <w:tcPr>
            <w:tcW w:w="1506"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YES</w:t>
            </w:r>
          </w:p>
        </w:tc>
        <w:tc>
          <w:tcPr>
            <w:tcW w:w="1506"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YES</w:t>
            </w:r>
          </w:p>
        </w:tc>
        <w:tc>
          <w:tcPr>
            <w:tcW w:w="1506"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YES</w:t>
            </w:r>
          </w:p>
        </w:tc>
        <w:tc>
          <w:tcPr>
            <w:tcW w:w="1506"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YES</w:t>
            </w:r>
          </w:p>
        </w:tc>
        <w:tc>
          <w:tcPr>
            <w:tcW w:w="1506"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YES</w:t>
            </w:r>
          </w:p>
        </w:tc>
      </w:tr>
    </w:tbl>
    <w:p w:rsidR="00E472E5" w:rsidRPr="00A7624F" w:rsidRDefault="00E472E5" w:rsidP="00E472E5">
      <w:pPr>
        <w:widowControl w:val="0"/>
        <w:autoSpaceDE w:val="0"/>
        <w:autoSpaceDN w:val="0"/>
        <w:adjustRightInd w:val="0"/>
        <w:spacing w:after="0" w:line="240" w:lineRule="auto"/>
        <w:jc w:val="center"/>
        <w:rPr>
          <w:rFonts w:ascii="Times New Roman" w:hAnsi="Times New Roman"/>
          <w:sz w:val="20"/>
          <w:szCs w:val="20"/>
        </w:rPr>
      </w:pPr>
    </w:p>
    <w:p w:rsidR="00E472E5" w:rsidRPr="00A7624F" w:rsidRDefault="00E472E5" w:rsidP="00E472E5">
      <w:pPr>
        <w:widowControl w:val="0"/>
        <w:autoSpaceDE w:val="0"/>
        <w:autoSpaceDN w:val="0"/>
        <w:adjustRightInd w:val="0"/>
        <w:spacing w:after="0" w:line="240" w:lineRule="auto"/>
        <w:jc w:val="center"/>
        <w:rPr>
          <w:rFonts w:ascii="Times New Roman" w:hAnsi="Times New Roman"/>
          <w:sz w:val="20"/>
          <w:szCs w:val="20"/>
        </w:rPr>
      </w:pPr>
      <w:r w:rsidRPr="00A7624F">
        <w:rPr>
          <w:rFonts w:ascii="Times New Roman" w:hAnsi="Times New Roman"/>
          <w:sz w:val="20"/>
          <w:szCs w:val="20"/>
        </w:rPr>
        <w:t>Robust standard errors in parentheses*** p&lt;0.01, ** p&lt;0.05, * p&lt;0.1</w:t>
      </w:r>
    </w:p>
    <w:p w:rsidR="00E472E5" w:rsidRPr="00A7624F" w:rsidRDefault="00E472E5" w:rsidP="00E472E5">
      <w:pPr>
        <w:widowControl w:val="0"/>
        <w:autoSpaceDE w:val="0"/>
        <w:autoSpaceDN w:val="0"/>
        <w:adjustRightInd w:val="0"/>
        <w:spacing w:after="0" w:line="240" w:lineRule="auto"/>
        <w:jc w:val="center"/>
        <w:rPr>
          <w:rFonts w:ascii="Times New Roman" w:hAnsi="Times New Roman"/>
          <w:sz w:val="20"/>
          <w:szCs w:val="20"/>
        </w:rPr>
      </w:pPr>
    </w:p>
    <w:p w:rsidR="00E472E5" w:rsidRPr="00A7624F" w:rsidRDefault="00E472E5" w:rsidP="00E472E5">
      <w:pPr>
        <w:rPr>
          <w:rFonts w:ascii="Times New Roman" w:hAnsi="Times New Roman"/>
          <w:sz w:val="24"/>
          <w:szCs w:val="24"/>
        </w:rPr>
      </w:pPr>
    </w:p>
    <w:p w:rsidR="00E472E5" w:rsidRPr="00A7624F" w:rsidRDefault="00E472E5" w:rsidP="00E472E5">
      <w:pPr>
        <w:widowControl w:val="0"/>
        <w:autoSpaceDE w:val="0"/>
        <w:autoSpaceDN w:val="0"/>
        <w:adjustRightInd w:val="0"/>
        <w:spacing w:after="0" w:line="240" w:lineRule="auto"/>
        <w:jc w:val="center"/>
        <w:rPr>
          <w:rFonts w:ascii="Times New Roman" w:hAnsi="Times New Roman"/>
          <w:b/>
          <w:sz w:val="24"/>
          <w:szCs w:val="24"/>
        </w:rPr>
      </w:pPr>
      <w:r w:rsidRPr="00A7624F">
        <w:rPr>
          <w:rFonts w:ascii="Times New Roman" w:hAnsi="Times New Roman"/>
          <w:b/>
          <w:sz w:val="24"/>
          <w:szCs w:val="24"/>
        </w:rPr>
        <w:lastRenderedPageBreak/>
        <w:t xml:space="preserve">Table 7: CVC Investor Competition, Acquirer Research Capability, and Merger Announcement Effect </w:t>
      </w:r>
    </w:p>
    <w:tbl>
      <w:tblPr>
        <w:tblpPr w:leftFromText="180" w:rightFromText="180" w:vertAnchor="page" w:horzAnchor="margin" w:tblpY="1741"/>
        <w:tblW w:w="13019" w:type="dxa"/>
        <w:tblLayout w:type="fixed"/>
        <w:tblCellMar>
          <w:left w:w="75" w:type="dxa"/>
          <w:right w:w="75" w:type="dxa"/>
        </w:tblCellMar>
        <w:tblLook w:val="0000" w:firstRow="0" w:lastRow="0" w:firstColumn="0" w:lastColumn="0" w:noHBand="0" w:noVBand="0"/>
      </w:tblPr>
      <w:tblGrid>
        <w:gridCol w:w="4164"/>
        <w:gridCol w:w="1416"/>
        <w:gridCol w:w="1350"/>
        <w:gridCol w:w="1440"/>
        <w:gridCol w:w="1549"/>
        <w:gridCol w:w="1550"/>
        <w:gridCol w:w="1550"/>
      </w:tblGrid>
      <w:tr w:rsidR="00E472E5" w:rsidRPr="00A7624F" w:rsidTr="000D535F">
        <w:trPr>
          <w:trHeight w:val="263"/>
        </w:trPr>
        <w:tc>
          <w:tcPr>
            <w:tcW w:w="4164" w:type="dxa"/>
            <w:tcBorders>
              <w:top w:val="single" w:sz="6" w:space="0" w:color="auto"/>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416" w:type="dxa"/>
            <w:tcBorders>
              <w:top w:val="single" w:sz="6" w:space="0" w:color="auto"/>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(1)</w:t>
            </w:r>
          </w:p>
        </w:tc>
        <w:tc>
          <w:tcPr>
            <w:tcW w:w="1350" w:type="dxa"/>
            <w:tcBorders>
              <w:top w:val="single" w:sz="6" w:space="0" w:color="auto"/>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(2)</w:t>
            </w:r>
          </w:p>
        </w:tc>
        <w:tc>
          <w:tcPr>
            <w:tcW w:w="1440" w:type="dxa"/>
            <w:tcBorders>
              <w:top w:val="single" w:sz="6" w:space="0" w:color="auto"/>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(3)</w:t>
            </w:r>
          </w:p>
        </w:tc>
        <w:tc>
          <w:tcPr>
            <w:tcW w:w="1549" w:type="dxa"/>
            <w:tcBorders>
              <w:top w:val="single" w:sz="6" w:space="0" w:color="auto"/>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(4)</w:t>
            </w:r>
          </w:p>
        </w:tc>
        <w:tc>
          <w:tcPr>
            <w:tcW w:w="1550" w:type="dxa"/>
            <w:tcBorders>
              <w:top w:val="single" w:sz="6" w:space="0" w:color="auto"/>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(5)</w:t>
            </w:r>
          </w:p>
        </w:tc>
        <w:tc>
          <w:tcPr>
            <w:tcW w:w="1550" w:type="dxa"/>
            <w:tcBorders>
              <w:top w:val="single" w:sz="6" w:space="0" w:color="auto"/>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(6)</w:t>
            </w:r>
          </w:p>
        </w:tc>
      </w:tr>
      <w:tr w:rsidR="00E472E5" w:rsidRPr="00A7624F" w:rsidTr="000D535F">
        <w:trPr>
          <w:trHeight w:val="263"/>
        </w:trPr>
        <w:tc>
          <w:tcPr>
            <w:tcW w:w="4164"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 xml:space="preserve">Dependent variable: </w:t>
            </w:r>
            <w:proofErr w:type="gramStart"/>
            <w:r w:rsidRPr="00A7624F">
              <w:rPr>
                <w:rFonts w:ascii="Times New Roman" w:hAnsi="Times New Roman"/>
              </w:rPr>
              <w:t>CAR(</w:t>
            </w:r>
            <w:proofErr w:type="gramEnd"/>
            <w:r w:rsidRPr="00A7624F">
              <w:rPr>
                <w:rFonts w:ascii="Times New Roman" w:hAnsi="Times New Roman"/>
              </w:rPr>
              <w:t>-1,0,1)</w:t>
            </w:r>
          </w:p>
        </w:tc>
        <w:tc>
          <w:tcPr>
            <w:tcW w:w="1416"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CVC Acquirers</w:t>
            </w:r>
          </w:p>
        </w:tc>
        <w:tc>
          <w:tcPr>
            <w:tcW w:w="1350"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CVC Acquirers</w:t>
            </w:r>
          </w:p>
        </w:tc>
        <w:tc>
          <w:tcPr>
            <w:tcW w:w="1440"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CVC Acquirers</w:t>
            </w:r>
          </w:p>
        </w:tc>
        <w:tc>
          <w:tcPr>
            <w:tcW w:w="1549"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Third-Party Acquirers</w:t>
            </w:r>
          </w:p>
        </w:tc>
        <w:tc>
          <w:tcPr>
            <w:tcW w:w="1550"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Third-Party Acquirers</w:t>
            </w:r>
          </w:p>
        </w:tc>
        <w:tc>
          <w:tcPr>
            <w:tcW w:w="1550"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Third-Party Acquirers</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Only small CVC investors</w:t>
            </w: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0.0000</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-0.0279**</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0.0037</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-0.0027</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(0.0075)</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(0.0123)</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(0.0064)</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(0.0072)</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R&amp;D Intensity</w:t>
            </w: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-0.0049*</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-0.0049*</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-0.0051**</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0.0070**</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0.0070**</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0.0051</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(0.0025)</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(0.0025)</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(0.0024)</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(0.0028)</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(0.0031)</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(0.0039)</w:t>
            </w:r>
          </w:p>
        </w:tc>
      </w:tr>
      <w:tr w:rsidR="00E472E5" w:rsidRPr="00A7624F" w:rsidTr="000D535F">
        <w:trPr>
          <w:trHeight w:val="248"/>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Only small CVC investors × R&amp;D Intensity</w:t>
            </w: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0.0484**</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0.0119*</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(0.0190)</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(0.0061)</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Cash/Total Assets</w:t>
            </w: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0.0203</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0.0203</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0.0185</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-0.0003</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-0.0008</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-0.0010</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(0.0271)</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(0.0275)</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(0.0263)</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(0.0140)</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(0.0173)</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(0.0177)</w:t>
            </w:r>
          </w:p>
        </w:tc>
      </w:tr>
      <w:tr w:rsidR="00E472E5" w:rsidRPr="00A7624F" w:rsidTr="000D535F">
        <w:trPr>
          <w:trHeight w:val="248"/>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Size</w:t>
            </w: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-0.0048</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-0.0048</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-0.0049</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-0.0003</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-0.0003</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-0.0003</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(0.0032)</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(0.0031)</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(0.0030)</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(0.0011)</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(0.0010)</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(0.0010)</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Tobin</w:t>
            </w: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-0.0003</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-0.0003</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-0.0008</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0.0012*</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0.0013**</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0.0013**</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(0.0006)</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(0.0005)</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(0.0005)</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(0.0006)</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(0.0005)</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(0.0005)</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Target Age</w:t>
            </w: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-0.0023</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-0.0023*</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-0.0021</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0.0001</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0.0001</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0.0001</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(0.0013)</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(0.0013)</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(0.0013)</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(0.0003)</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(0.0002)</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(0.0002)</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In IT</w:t>
            </w: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-0.0059</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-0.0059</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-0.0092</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-0.0097*</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-0.0096</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-0.0099</w:t>
            </w:r>
          </w:p>
        </w:tc>
      </w:tr>
      <w:tr w:rsidR="00E472E5" w:rsidRPr="00A7624F" w:rsidTr="000D535F">
        <w:trPr>
          <w:trHeight w:val="248"/>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(0.0089)</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(0.0091)</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(0.0091)</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(0.0056)</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(0.0075)</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(0.0076)</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Target &amp; acquirer in related industries</w:t>
            </w: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0.0085</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0.0085</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0.0074</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-0.0030</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-0.0032</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-0.0032</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(0.0082)</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(0.0083)</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(0.0091)</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(0.0051)</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(0.0077)</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(0.0076)</w:t>
            </w:r>
          </w:p>
        </w:tc>
      </w:tr>
      <w:tr w:rsidR="00E472E5" w:rsidRPr="00A7624F" w:rsidTr="000D535F">
        <w:trPr>
          <w:trHeight w:val="248"/>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Constant</w:t>
            </w: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0.0534</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0.0534</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0.0593*</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0.0092</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0.0086</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0.0099</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(0.0340)</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(0.0328)</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(0.0316)</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(0.0119)</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(0.0100)</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(0.0103)</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Observations</w:t>
            </w: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131</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131</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131</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1,244</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1,244</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1,244</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R-squared</w:t>
            </w: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0.1002</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0.1002</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0.1227</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0.0120</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0.0146</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0.0147</w:t>
            </w:r>
          </w:p>
        </w:tc>
      </w:tr>
      <w:tr w:rsidR="00E472E5" w:rsidRPr="00A7624F" w:rsidTr="000D535F">
        <w:trPr>
          <w:trHeight w:val="263"/>
        </w:trPr>
        <w:tc>
          <w:tcPr>
            <w:tcW w:w="4164"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Number of Merger Years</w:t>
            </w:r>
          </w:p>
        </w:tc>
        <w:tc>
          <w:tcPr>
            <w:tcW w:w="1416"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28</w:t>
            </w:r>
          </w:p>
        </w:tc>
        <w:tc>
          <w:tcPr>
            <w:tcW w:w="13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28</w:t>
            </w:r>
          </w:p>
        </w:tc>
        <w:tc>
          <w:tcPr>
            <w:tcW w:w="144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28</w:t>
            </w:r>
          </w:p>
        </w:tc>
        <w:tc>
          <w:tcPr>
            <w:tcW w:w="1549"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32</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32</w:t>
            </w:r>
          </w:p>
        </w:tc>
        <w:tc>
          <w:tcPr>
            <w:tcW w:w="1550" w:type="dxa"/>
            <w:tcBorders>
              <w:top w:val="nil"/>
              <w:left w:val="nil"/>
              <w:bottom w:val="nil"/>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32</w:t>
            </w:r>
          </w:p>
        </w:tc>
      </w:tr>
      <w:tr w:rsidR="00E472E5" w:rsidRPr="00A7624F" w:rsidTr="000D535F">
        <w:tblPrEx>
          <w:tblBorders>
            <w:bottom w:val="single" w:sz="6" w:space="0" w:color="auto"/>
          </w:tblBorders>
        </w:tblPrEx>
        <w:trPr>
          <w:trHeight w:val="263"/>
        </w:trPr>
        <w:tc>
          <w:tcPr>
            <w:tcW w:w="4164"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rPr>
                <w:rFonts w:ascii="Times New Roman" w:hAnsi="Times New Roman"/>
              </w:rPr>
            </w:pPr>
            <w:r w:rsidRPr="00A7624F">
              <w:rPr>
                <w:rFonts w:ascii="Times New Roman" w:hAnsi="Times New Roman"/>
              </w:rPr>
              <w:t>Year Fixed Effects</w:t>
            </w:r>
          </w:p>
        </w:tc>
        <w:tc>
          <w:tcPr>
            <w:tcW w:w="1416"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YES</w:t>
            </w:r>
          </w:p>
        </w:tc>
        <w:tc>
          <w:tcPr>
            <w:tcW w:w="1350"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YES</w:t>
            </w:r>
          </w:p>
        </w:tc>
        <w:tc>
          <w:tcPr>
            <w:tcW w:w="1440"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YES</w:t>
            </w:r>
          </w:p>
        </w:tc>
        <w:tc>
          <w:tcPr>
            <w:tcW w:w="1549"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YES</w:t>
            </w:r>
          </w:p>
        </w:tc>
        <w:tc>
          <w:tcPr>
            <w:tcW w:w="1550"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YES</w:t>
            </w:r>
          </w:p>
        </w:tc>
        <w:tc>
          <w:tcPr>
            <w:tcW w:w="1550" w:type="dxa"/>
            <w:tcBorders>
              <w:top w:val="nil"/>
              <w:left w:val="nil"/>
              <w:bottom w:val="single" w:sz="6" w:space="0" w:color="auto"/>
              <w:right w:val="nil"/>
            </w:tcBorders>
          </w:tcPr>
          <w:p w:rsidR="00E472E5" w:rsidRPr="00A7624F" w:rsidRDefault="00E472E5" w:rsidP="000D535F">
            <w:pPr>
              <w:widowControl w:val="0"/>
              <w:autoSpaceDE w:val="0"/>
              <w:autoSpaceDN w:val="0"/>
              <w:adjustRightInd w:val="0"/>
              <w:spacing w:after="0" w:line="240" w:lineRule="auto"/>
              <w:jc w:val="center"/>
              <w:rPr>
                <w:rFonts w:ascii="Times New Roman" w:hAnsi="Times New Roman"/>
              </w:rPr>
            </w:pPr>
            <w:r w:rsidRPr="00A7624F">
              <w:rPr>
                <w:rFonts w:ascii="Times New Roman" w:hAnsi="Times New Roman"/>
              </w:rPr>
              <w:t>YES</w:t>
            </w:r>
          </w:p>
        </w:tc>
      </w:tr>
    </w:tbl>
    <w:p w:rsidR="00E472E5" w:rsidRPr="00A7624F" w:rsidRDefault="00E472E5" w:rsidP="00E472E5">
      <w:pPr>
        <w:widowControl w:val="0"/>
        <w:autoSpaceDE w:val="0"/>
        <w:autoSpaceDN w:val="0"/>
        <w:adjustRightInd w:val="0"/>
        <w:spacing w:after="0" w:line="240" w:lineRule="auto"/>
        <w:jc w:val="center"/>
        <w:rPr>
          <w:rFonts w:ascii="Times New Roman" w:hAnsi="Times New Roman"/>
          <w:b/>
          <w:sz w:val="24"/>
          <w:szCs w:val="24"/>
        </w:rPr>
      </w:pPr>
    </w:p>
    <w:p w:rsidR="00E472E5" w:rsidRPr="00A7624F" w:rsidRDefault="00E472E5" w:rsidP="00E472E5">
      <w:pPr>
        <w:widowControl w:val="0"/>
        <w:autoSpaceDE w:val="0"/>
        <w:autoSpaceDN w:val="0"/>
        <w:adjustRightInd w:val="0"/>
        <w:spacing w:after="0" w:line="240" w:lineRule="auto"/>
        <w:jc w:val="center"/>
        <w:rPr>
          <w:rFonts w:ascii="Times New Roman" w:hAnsi="Times New Roman"/>
          <w:sz w:val="20"/>
          <w:szCs w:val="20"/>
        </w:rPr>
        <w:sectPr w:rsidR="00E472E5" w:rsidRPr="00A7624F" w:rsidSect="000D535F">
          <w:pgSz w:w="15840" w:h="12240" w:orient="landscape"/>
          <w:pgMar w:top="1440" w:right="1440" w:bottom="1440" w:left="1440" w:header="720" w:footer="720" w:gutter="0"/>
          <w:cols w:space="720"/>
          <w:noEndnote/>
          <w:docGrid w:linePitch="299"/>
        </w:sectPr>
      </w:pPr>
      <w:r w:rsidRPr="00A7624F">
        <w:rPr>
          <w:rFonts w:ascii="Times New Roman" w:hAnsi="Times New Roman"/>
          <w:sz w:val="20"/>
          <w:szCs w:val="20"/>
        </w:rPr>
        <w:t>Robust standard errors in parentheses, *** p&lt;0.01, ** p&lt;0.05, * p&lt;0.1</w:t>
      </w:r>
    </w:p>
    <w:p w:rsidR="00D41979" w:rsidRPr="00A7624F" w:rsidRDefault="00D41979" w:rsidP="0092044C">
      <w:pPr>
        <w:widowControl w:val="0"/>
        <w:autoSpaceDE w:val="0"/>
        <w:autoSpaceDN w:val="0"/>
        <w:adjustRightInd w:val="0"/>
        <w:spacing w:after="0" w:line="240" w:lineRule="auto"/>
        <w:jc w:val="center"/>
        <w:rPr>
          <w:rFonts w:ascii="Times New Roman" w:hAnsi="Times New Roman"/>
          <w:b/>
          <w:sz w:val="24"/>
          <w:szCs w:val="24"/>
        </w:rPr>
      </w:pPr>
      <w:r w:rsidRPr="00A7624F">
        <w:rPr>
          <w:rFonts w:ascii="Times New Roman" w:hAnsi="Times New Roman"/>
          <w:b/>
          <w:sz w:val="24"/>
          <w:szCs w:val="24"/>
        </w:rPr>
        <w:lastRenderedPageBreak/>
        <w:t xml:space="preserve">Figure 2. Moderation Effects of CVC Investor </w:t>
      </w:r>
      <w:r w:rsidR="00EF1CF7" w:rsidRPr="00A7624F">
        <w:rPr>
          <w:rFonts w:ascii="Times New Roman" w:hAnsi="Times New Roman"/>
          <w:b/>
          <w:sz w:val="24"/>
          <w:szCs w:val="24"/>
        </w:rPr>
        <w:t>Major Status for CVC Investor Acquirers</w:t>
      </w:r>
    </w:p>
    <w:p w:rsidR="00D41979" w:rsidRPr="00A7624F" w:rsidRDefault="00D41979" w:rsidP="0092044C">
      <w:pPr>
        <w:widowControl w:val="0"/>
        <w:autoSpaceDE w:val="0"/>
        <w:autoSpaceDN w:val="0"/>
        <w:adjustRightInd w:val="0"/>
        <w:spacing w:after="0" w:line="240" w:lineRule="auto"/>
        <w:jc w:val="center"/>
        <w:rPr>
          <w:rFonts w:ascii="Times New Roman" w:hAnsi="Times New Roman"/>
          <w:sz w:val="24"/>
          <w:szCs w:val="24"/>
        </w:rPr>
      </w:pPr>
    </w:p>
    <w:p w:rsidR="00E21D88" w:rsidRPr="00A7624F" w:rsidRDefault="00E21D88" w:rsidP="0092044C">
      <w:pPr>
        <w:widowControl w:val="0"/>
        <w:autoSpaceDE w:val="0"/>
        <w:autoSpaceDN w:val="0"/>
        <w:adjustRightInd w:val="0"/>
        <w:spacing w:after="0" w:line="240" w:lineRule="auto"/>
        <w:jc w:val="center"/>
        <w:rPr>
          <w:rFonts w:ascii="Times New Roman" w:hAnsi="Times New Roman"/>
          <w:b/>
          <w:sz w:val="24"/>
          <w:szCs w:val="24"/>
        </w:rPr>
      </w:pPr>
    </w:p>
    <w:p w:rsidR="00E21D88" w:rsidRPr="00A7624F" w:rsidRDefault="00EF1CF7" w:rsidP="0092044C">
      <w:pPr>
        <w:widowControl w:val="0"/>
        <w:autoSpaceDE w:val="0"/>
        <w:autoSpaceDN w:val="0"/>
        <w:adjustRightInd w:val="0"/>
        <w:spacing w:after="0" w:line="240" w:lineRule="auto"/>
        <w:jc w:val="center"/>
        <w:rPr>
          <w:rFonts w:ascii="Times New Roman" w:hAnsi="Times New Roman"/>
          <w:b/>
          <w:sz w:val="24"/>
          <w:szCs w:val="24"/>
        </w:rPr>
      </w:pPr>
      <w:r w:rsidRPr="00A7624F">
        <w:rPr>
          <w:noProof/>
        </w:rPr>
        <w:drawing>
          <wp:inline distT="0" distB="0" distL="0" distR="0" wp14:anchorId="5252D8D2" wp14:editId="4F54BEBD">
            <wp:extent cx="5724939" cy="2790908"/>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5833" w:rsidRPr="00A7624F" w:rsidRDefault="004D5833" w:rsidP="004D5833">
      <w:pPr>
        <w:rPr>
          <w:rFonts w:ascii="Times New Roman" w:hAnsi="Times New Roman"/>
          <w:b/>
          <w:sz w:val="24"/>
          <w:szCs w:val="24"/>
        </w:rPr>
      </w:pPr>
    </w:p>
    <w:p w:rsidR="004D5833" w:rsidRPr="00A7624F" w:rsidRDefault="004D5833" w:rsidP="004D5833">
      <w:pPr>
        <w:rPr>
          <w:rFonts w:ascii="Times New Roman" w:hAnsi="Times New Roman"/>
          <w:b/>
          <w:sz w:val="24"/>
          <w:szCs w:val="24"/>
        </w:rPr>
      </w:pPr>
    </w:p>
    <w:p w:rsidR="004D5833" w:rsidRPr="00A7624F" w:rsidRDefault="004D5833" w:rsidP="004D5833">
      <w:pPr>
        <w:rPr>
          <w:rFonts w:ascii="Times New Roman" w:hAnsi="Times New Roman"/>
          <w:b/>
          <w:sz w:val="24"/>
          <w:szCs w:val="24"/>
        </w:rPr>
      </w:pPr>
      <w:r w:rsidRPr="00A7624F">
        <w:rPr>
          <w:rFonts w:ascii="Times New Roman" w:hAnsi="Times New Roman"/>
          <w:b/>
          <w:sz w:val="24"/>
          <w:szCs w:val="24"/>
        </w:rPr>
        <w:t>Figure 3. Moderation Effects of CVC Investor Major Status for Third-Party Acquirers</w:t>
      </w:r>
    </w:p>
    <w:p w:rsidR="004D5833" w:rsidRPr="00A7624F" w:rsidRDefault="004D5833" w:rsidP="004D5833">
      <w:pPr>
        <w:jc w:val="center"/>
        <w:rPr>
          <w:rFonts w:ascii="Times New Roman" w:hAnsi="Times New Roman"/>
          <w:b/>
          <w:sz w:val="24"/>
          <w:szCs w:val="24"/>
        </w:rPr>
      </w:pPr>
      <w:r w:rsidRPr="00A7624F">
        <w:rPr>
          <w:noProof/>
        </w:rPr>
        <w:drawing>
          <wp:inline distT="0" distB="0" distL="0" distR="0" wp14:anchorId="01263952" wp14:editId="3271BE68">
            <wp:extent cx="5661329" cy="3005593"/>
            <wp:effectExtent l="0" t="0" r="15875" b="234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88" w:rsidRPr="00A7624F" w:rsidRDefault="00E21D88" w:rsidP="0092044C">
      <w:pPr>
        <w:widowControl w:val="0"/>
        <w:autoSpaceDE w:val="0"/>
        <w:autoSpaceDN w:val="0"/>
        <w:adjustRightInd w:val="0"/>
        <w:spacing w:after="0" w:line="240" w:lineRule="auto"/>
        <w:jc w:val="center"/>
        <w:rPr>
          <w:rFonts w:ascii="Times New Roman" w:hAnsi="Times New Roman"/>
          <w:b/>
          <w:sz w:val="24"/>
          <w:szCs w:val="24"/>
        </w:rPr>
      </w:pPr>
    </w:p>
    <w:p w:rsidR="00E21D88" w:rsidRPr="00A7624F" w:rsidRDefault="00E21D88" w:rsidP="0092044C">
      <w:pPr>
        <w:widowControl w:val="0"/>
        <w:autoSpaceDE w:val="0"/>
        <w:autoSpaceDN w:val="0"/>
        <w:adjustRightInd w:val="0"/>
        <w:spacing w:after="0" w:line="240" w:lineRule="auto"/>
        <w:jc w:val="center"/>
        <w:rPr>
          <w:rFonts w:ascii="Times New Roman" w:hAnsi="Times New Roman"/>
          <w:b/>
          <w:sz w:val="24"/>
          <w:szCs w:val="24"/>
        </w:rPr>
      </w:pPr>
    </w:p>
    <w:p w:rsidR="004D5833" w:rsidRPr="00A7624F" w:rsidRDefault="004D5833" w:rsidP="0092044C">
      <w:pPr>
        <w:widowControl w:val="0"/>
        <w:autoSpaceDE w:val="0"/>
        <w:autoSpaceDN w:val="0"/>
        <w:adjustRightInd w:val="0"/>
        <w:spacing w:after="0" w:line="240" w:lineRule="auto"/>
        <w:jc w:val="center"/>
        <w:rPr>
          <w:rFonts w:ascii="Times New Roman" w:hAnsi="Times New Roman"/>
          <w:b/>
          <w:sz w:val="24"/>
          <w:szCs w:val="24"/>
        </w:rPr>
      </w:pPr>
    </w:p>
    <w:p w:rsidR="004D5833" w:rsidRPr="00A7624F" w:rsidRDefault="004D5833" w:rsidP="004D5833">
      <w:pPr>
        <w:rPr>
          <w:rFonts w:ascii="Times New Roman" w:hAnsi="Times New Roman"/>
          <w:b/>
          <w:sz w:val="24"/>
          <w:szCs w:val="24"/>
        </w:rPr>
      </w:pPr>
      <w:r w:rsidRPr="00A7624F">
        <w:rPr>
          <w:rFonts w:ascii="Times New Roman" w:hAnsi="Times New Roman"/>
          <w:b/>
          <w:sz w:val="24"/>
          <w:szCs w:val="24"/>
        </w:rPr>
        <w:br w:type="page"/>
      </w:r>
      <w:r w:rsidRPr="00A7624F">
        <w:rPr>
          <w:rFonts w:ascii="Times New Roman" w:hAnsi="Times New Roman"/>
          <w:b/>
          <w:sz w:val="24"/>
          <w:szCs w:val="24"/>
        </w:rPr>
        <w:lastRenderedPageBreak/>
        <w:t>F</w:t>
      </w:r>
      <w:r w:rsidR="00256CF7" w:rsidRPr="00A7624F">
        <w:rPr>
          <w:rFonts w:ascii="Times New Roman" w:hAnsi="Times New Roman"/>
          <w:b/>
          <w:sz w:val="24"/>
          <w:szCs w:val="24"/>
        </w:rPr>
        <w:t>igure 4</w:t>
      </w:r>
      <w:r w:rsidRPr="00A7624F">
        <w:rPr>
          <w:rFonts w:ascii="Times New Roman" w:hAnsi="Times New Roman"/>
          <w:b/>
          <w:sz w:val="24"/>
          <w:szCs w:val="24"/>
        </w:rPr>
        <w:t xml:space="preserve">. Moderation Effects of </w:t>
      </w:r>
      <w:r w:rsidR="00256CF7" w:rsidRPr="00A7624F">
        <w:rPr>
          <w:rFonts w:ascii="Times New Roman" w:hAnsi="Times New Roman"/>
          <w:b/>
          <w:sz w:val="24"/>
          <w:szCs w:val="24"/>
        </w:rPr>
        <w:t>Only Small CVC investors</w:t>
      </w:r>
      <w:r w:rsidRPr="00A7624F">
        <w:rPr>
          <w:rFonts w:ascii="Times New Roman" w:hAnsi="Times New Roman"/>
          <w:b/>
          <w:sz w:val="24"/>
          <w:szCs w:val="24"/>
        </w:rPr>
        <w:t xml:space="preserve"> for </w:t>
      </w:r>
      <w:r w:rsidR="009A0293" w:rsidRPr="00A7624F">
        <w:rPr>
          <w:rFonts w:ascii="Times New Roman" w:hAnsi="Times New Roman"/>
          <w:b/>
          <w:sz w:val="24"/>
          <w:szCs w:val="24"/>
        </w:rPr>
        <w:t>CVC investor</w:t>
      </w:r>
      <w:r w:rsidRPr="00A7624F">
        <w:rPr>
          <w:rFonts w:ascii="Times New Roman" w:hAnsi="Times New Roman"/>
          <w:b/>
          <w:sz w:val="24"/>
          <w:szCs w:val="24"/>
        </w:rPr>
        <w:t xml:space="preserve"> Acquirers</w:t>
      </w:r>
    </w:p>
    <w:tbl>
      <w:tblPr>
        <w:tblW w:w="12201" w:type="dxa"/>
        <w:tblInd w:w="108" w:type="dxa"/>
        <w:tblLook w:val="04A0" w:firstRow="1" w:lastRow="0" w:firstColumn="1" w:lastColumn="0" w:noHBand="0" w:noVBand="1"/>
      </w:tblPr>
      <w:tblGrid>
        <w:gridCol w:w="1176"/>
        <w:gridCol w:w="1217"/>
        <w:gridCol w:w="976"/>
        <w:gridCol w:w="1536"/>
        <w:gridCol w:w="1696"/>
        <w:gridCol w:w="1696"/>
        <w:gridCol w:w="976"/>
        <w:gridCol w:w="976"/>
        <w:gridCol w:w="976"/>
        <w:gridCol w:w="976"/>
      </w:tblGrid>
      <w:tr w:rsidR="00256CF7" w:rsidRPr="00A7624F" w:rsidTr="009A0293">
        <w:trPr>
          <w:trHeight w:val="25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r w:rsidRPr="00A7624F">
              <w:rPr>
                <w:rFonts w:ascii="Arial" w:eastAsia="Times New Roman" w:hAnsi="Arial" w:cs="Arial"/>
                <w:noProof/>
                <w:sz w:val="20"/>
                <w:szCs w:val="20"/>
              </w:rPr>
              <w:drawing>
                <wp:anchor distT="0" distB="0" distL="114300" distR="114300" simplePos="0" relativeHeight="251658240" behindDoc="0" locked="0" layoutInCell="1" allowOverlap="1" wp14:anchorId="50A2576D" wp14:editId="7F00C60D">
                  <wp:simplePos x="0" y="0"/>
                  <wp:positionH relativeFrom="column">
                    <wp:posOffset>66040</wp:posOffset>
                  </wp:positionH>
                  <wp:positionV relativeFrom="paragraph">
                    <wp:posOffset>52070</wp:posOffset>
                  </wp:positionV>
                  <wp:extent cx="4993005" cy="2870200"/>
                  <wp:effectExtent l="0" t="0" r="17145" b="25400"/>
                  <wp:wrapNone/>
                  <wp:docPr id="2051" name="Chart 20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6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960"/>
            </w:tblGrid>
            <w:tr w:rsidR="00256CF7" w:rsidRPr="00A7624F">
              <w:trPr>
                <w:trHeight w:val="260"/>
                <w:tblCellSpacing w:w="0" w:type="dxa"/>
              </w:trPr>
              <w:tc>
                <w:tcPr>
                  <w:tcW w:w="960"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bl>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5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5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5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5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6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5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5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5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5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5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5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6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5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5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5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5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r w:rsidR="00256CF7" w:rsidRPr="00A7624F" w:rsidTr="009A0293">
        <w:trPr>
          <w:trHeight w:val="250"/>
        </w:trPr>
        <w:tc>
          <w:tcPr>
            <w:tcW w:w="11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53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169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256CF7" w:rsidRPr="00A7624F" w:rsidRDefault="00256CF7" w:rsidP="00256CF7">
            <w:pPr>
              <w:spacing w:after="0" w:line="240" w:lineRule="auto"/>
              <w:rPr>
                <w:rFonts w:ascii="Arial" w:eastAsia="Times New Roman" w:hAnsi="Arial" w:cs="Arial"/>
                <w:sz w:val="20"/>
                <w:szCs w:val="20"/>
              </w:rPr>
            </w:pPr>
          </w:p>
        </w:tc>
      </w:tr>
    </w:tbl>
    <w:p w:rsidR="009A0293" w:rsidRPr="00A7624F" w:rsidRDefault="009A0293" w:rsidP="009A0293">
      <w:pPr>
        <w:rPr>
          <w:rFonts w:ascii="Times New Roman" w:hAnsi="Times New Roman"/>
          <w:b/>
          <w:sz w:val="24"/>
          <w:szCs w:val="24"/>
        </w:rPr>
      </w:pPr>
      <w:r w:rsidRPr="00A7624F">
        <w:rPr>
          <w:rFonts w:ascii="Times New Roman" w:hAnsi="Times New Roman"/>
          <w:b/>
          <w:sz w:val="24"/>
          <w:szCs w:val="24"/>
        </w:rPr>
        <w:t>Figure 5. Moderation Effects of Only Small CVC investors for Third-Party Acquirers</w:t>
      </w:r>
    </w:p>
    <w:p w:rsidR="004D5833" w:rsidRDefault="009A0293" w:rsidP="009A0293">
      <w:pPr>
        <w:widowControl w:val="0"/>
        <w:autoSpaceDE w:val="0"/>
        <w:autoSpaceDN w:val="0"/>
        <w:adjustRightInd w:val="0"/>
        <w:spacing w:after="0" w:line="240" w:lineRule="auto"/>
        <w:rPr>
          <w:rFonts w:ascii="Times New Roman" w:hAnsi="Times New Roman"/>
          <w:b/>
          <w:sz w:val="24"/>
          <w:szCs w:val="24"/>
        </w:rPr>
      </w:pPr>
      <w:r w:rsidRPr="00A7624F">
        <w:rPr>
          <w:noProof/>
        </w:rPr>
        <w:drawing>
          <wp:inline distT="0" distB="0" distL="0" distR="0" wp14:anchorId="5BBAD3F6" wp14:editId="29626C25">
            <wp:extent cx="5184250" cy="3522428"/>
            <wp:effectExtent l="0" t="0" r="16510" b="209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4D5833" w:rsidSect="00E21D8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D90" w:rsidRDefault="00167D90" w:rsidP="00D41979">
      <w:pPr>
        <w:spacing w:after="0" w:line="240" w:lineRule="auto"/>
      </w:pPr>
      <w:r>
        <w:separator/>
      </w:r>
    </w:p>
  </w:endnote>
  <w:endnote w:type="continuationSeparator" w:id="0">
    <w:p w:rsidR="00167D90" w:rsidRDefault="00167D90" w:rsidP="00D4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422923"/>
      <w:docPartObj>
        <w:docPartGallery w:val="Page Numbers (Bottom of Page)"/>
        <w:docPartUnique/>
      </w:docPartObj>
    </w:sdtPr>
    <w:sdtEndPr>
      <w:rPr>
        <w:noProof/>
      </w:rPr>
    </w:sdtEndPr>
    <w:sdtContent>
      <w:p w:rsidR="000D535F" w:rsidRDefault="000D535F">
        <w:pPr>
          <w:pStyle w:val="Footer"/>
          <w:jc w:val="right"/>
        </w:pPr>
        <w:r>
          <w:fldChar w:fldCharType="begin"/>
        </w:r>
        <w:r>
          <w:instrText xml:space="preserve"> PAGE   \* MERGEFORMAT </w:instrText>
        </w:r>
        <w:r>
          <w:fldChar w:fldCharType="separate"/>
        </w:r>
        <w:r w:rsidR="007804C5">
          <w:rPr>
            <w:noProof/>
          </w:rPr>
          <w:t>2</w:t>
        </w:r>
        <w:r>
          <w:rPr>
            <w:noProof/>
          </w:rPr>
          <w:fldChar w:fldCharType="end"/>
        </w:r>
      </w:p>
    </w:sdtContent>
  </w:sdt>
  <w:p w:rsidR="000D535F" w:rsidRDefault="000D5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586101"/>
      <w:docPartObj>
        <w:docPartGallery w:val="Page Numbers (Bottom of Page)"/>
        <w:docPartUnique/>
      </w:docPartObj>
    </w:sdtPr>
    <w:sdtEndPr>
      <w:rPr>
        <w:noProof/>
      </w:rPr>
    </w:sdtEndPr>
    <w:sdtContent>
      <w:p w:rsidR="000D535F" w:rsidRDefault="000D535F">
        <w:pPr>
          <w:pStyle w:val="Footer"/>
          <w:jc w:val="right"/>
        </w:pPr>
        <w:r>
          <w:fldChar w:fldCharType="begin"/>
        </w:r>
        <w:r>
          <w:instrText xml:space="preserve"> PAGE   \* MERGEFORMAT </w:instrText>
        </w:r>
        <w:r>
          <w:fldChar w:fldCharType="separate"/>
        </w:r>
        <w:r w:rsidR="007804C5">
          <w:rPr>
            <w:noProof/>
          </w:rPr>
          <w:t>38</w:t>
        </w:r>
        <w:r>
          <w:rPr>
            <w:noProof/>
          </w:rPr>
          <w:fldChar w:fldCharType="end"/>
        </w:r>
      </w:p>
    </w:sdtContent>
  </w:sdt>
  <w:p w:rsidR="000D535F" w:rsidRDefault="000D5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D90" w:rsidRDefault="00167D90" w:rsidP="00D41979">
      <w:pPr>
        <w:spacing w:after="0" w:line="240" w:lineRule="auto"/>
      </w:pPr>
      <w:r>
        <w:separator/>
      </w:r>
    </w:p>
  </w:footnote>
  <w:footnote w:type="continuationSeparator" w:id="0">
    <w:p w:rsidR="00167D90" w:rsidRDefault="00167D90" w:rsidP="00D41979">
      <w:pPr>
        <w:spacing w:after="0" w:line="240" w:lineRule="auto"/>
      </w:pPr>
      <w:r>
        <w:continuationSeparator/>
      </w:r>
    </w:p>
  </w:footnote>
  <w:footnote w:id="1">
    <w:p w:rsidR="000D535F" w:rsidRPr="00D32017" w:rsidRDefault="000D535F" w:rsidP="0092044C">
      <w:pPr>
        <w:autoSpaceDE w:val="0"/>
        <w:autoSpaceDN w:val="0"/>
        <w:spacing w:after="0" w:line="240" w:lineRule="auto"/>
        <w:rPr>
          <w:rFonts w:ascii="Times New Roman" w:eastAsia="SimSun" w:hAnsi="Times New Roman"/>
          <w:sz w:val="16"/>
          <w:szCs w:val="16"/>
        </w:rPr>
      </w:pPr>
      <w:r>
        <w:rPr>
          <w:rStyle w:val="FootnoteReference"/>
          <w:rFonts w:eastAsia="SimSun"/>
        </w:rPr>
        <w:footnoteRef/>
      </w:r>
      <w:r>
        <w:rPr>
          <w:rFonts w:eastAsia="SimSun"/>
        </w:rPr>
        <w:t xml:space="preserve"> </w:t>
      </w:r>
      <w:r w:rsidRPr="00D32017">
        <w:rPr>
          <w:rFonts w:ascii="Times New Roman" w:eastAsia="SimSun" w:hAnsi="Times New Roman"/>
          <w:sz w:val="16"/>
          <w:szCs w:val="16"/>
        </w:rPr>
        <w:t xml:space="preserve">The </w:t>
      </w:r>
      <w:proofErr w:type="spellStart"/>
      <w:r w:rsidRPr="00D32017">
        <w:rPr>
          <w:rFonts w:ascii="Times New Roman" w:eastAsia="SimSun" w:hAnsi="Times New Roman"/>
          <w:sz w:val="16"/>
          <w:szCs w:val="16"/>
        </w:rPr>
        <w:t>MoneyTree</w:t>
      </w:r>
      <w:proofErr w:type="spellEnd"/>
      <w:r w:rsidRPr="00D32017">
        <w:rPr>
          <w:rFonts w:ascii="Times New Roman" w:eastAsia="SimSun" w:hAnsi="Times New Roman"/>
          <w:sz w:val="16"/>
          <w:szCs w:val="16"/>
        </w:rPr>
        <w:t>™ Report by PricewaterhouseCoopers and the National Venture Capital Association (NVCA) based on data from Thomson Financial</w:t>
      </w:r>
    </w:p>
  </w:footnote>
  <w:footnote w:id="2">
    <w:p w:rsidR="000D535F" w:rsidRDefault="000D535F">
      <w:pPr>
        <w:pStyle w:val="FootnoteText"/>
      </w:pPr>
      <w:r>
        <w:rPr>
          <w:rStyle w:val="FootnoteReference"/>
        </w:rPr>
        <w:footnoteRef/>
      </w:r>
      <w:r>
        <w:t xml:space="preserve"> In our sample, less than 10% of portfolio companies were acquired by their CVC investors.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41979"/>
    <w:rsid w:val="0000184D"/>
    <w:rsid w:val="00001FF3"/>
    <w:rsid w:val="00001FFA"/>
    <w:rsid w:val="0000388E"/>
    <w:rsid w:val="000067FE"/>
    <w:rsid w:val="000070D8"/>
    <w:rsid w:val="000118CC"/>
    <w:rsid w:val="000120CD"/>
    <w:rsid w:val="00012B0D"/>
    <w:rsid w:val="0001597F"/>
    <w:rsid w:val="00021477"/>
    <w:rsid w:val="00024778"/>
    <w:rsid w:val="00024C36"/>
    <w:rsid w:val="00025D45"/>
    <w:rsid w:val="00026A72"/>
    <w:rsid w:val="00034153"/>
    <w:rsid w:val="0003526E"/>
    <w:rsid w:val="00036979"/>
    <w:rsid w:val="00040789"/>
    <w:rsid w:val="00042057"/>
    <w:rsid w:val="00043B22"/>
    <w:rsid w:val="00050915"/>
    <w:rsid w:val="00052443"/>
    <w:rsid w:val="00054F29"/>
    <w:rsid w:val="0005508C"/>
    <w:rsid w:val="00055748"/>
    <w:rsid w:val="0005659E"/>
    <w:rsid w:val="000601FF"/>
    <w:rsid w:val="00061D62"/>
    <w:rsid w:val="000646EC"/>
    <w:rsid w:val="000706E5"/>
    <w:rsid w:val="00070778"/>
    <w:rsid w:val="00071EC2"/>
    <w:rsid w:val="00073AE1"/>
    <w:rsid w:val="0007648D"/>
    <w:rsid w:val="00076ED9"/>
    <w:rsid w:val="000779AD"/>
    <w:rsid w:val="000800D6"/>
    <w:rsid w:val="00085710"/>
    <w:rsid w:val="000902B3"/>
    <w:rsid w:val="00090AFA"/>
    <w:rsid w:val="000913D6"/>
    <w:rsid w:val="00091FDD"/>
    <w:rsid w:val="000A1299"/>
    <w:rsid w:val="000A19A9"/>
    <w:rsid w:val="000A1B23"/>
    <w:rsid w:val="000B2887"/>
    <w:rsid w:val="000B3429"/>
    <w:rsid w:val="000B3B34"/>
    <w:rsid w:val="000B66A9"/>
    <w:rsid w:val="000B6AE6"/>
    <w:rsid w:val="000C0C8E"/>
    <w:rsid w:val="000C198D"/>
    <w:rsid w:val="000D1FA8"/>
    <w:rsid w:val="000D2FD5"/>
    <w:rsid w:val="000D3DCD"/>
    <w:rsid w:val="000D535F"/>
    <w:rsid w:val="000D5C52"/>
    <w:rsid w:val="000E2DE6"/>
    <w:rsid w:val="000F1470"/>
    <w:rsid w:val="000F1FD9"/>
    <w:rsid w:val="000F2B1B"/>
    <w:rsid w:val="000F3A24"/>
    <w:rsid w:val="000F3C29"/>
    <w:rsid w:val="000F691B"/>
    <w:rsid w:val="00103EB3"/>
    <w:rsid w:val="001056F6"/>
    <w:rsid w:val="0010591D"/>
    <w:rsid w:val="00106D61"/>
    <w:rsid w:val="00111D3F"/>
    <w:rsid w:val="00112954"/>
    <w:rsid w:val="00116FFA"/>
    <w:rsid w:val="00123CAF"/>
    <w:rsid w:val="00124084"/>
    <w:rsid w:val="00135842"/>
    <w:rsid w:val="00135862"/>
    <w:rsid w:val="001510B5"/>
    <w:rsid w:val="00153067"/>
    <w:rsid w:val="0015329F"/>
    <w:rsid w:val="00154BA7"/>
    <w:rsid w:val="00154F28"/>
    <w:rsid w:val="00155033"/>
    <w:rsid w:val="00167D90"/>
    <w:rsid w:val="0017115C"/>
    <w:rsid w:val="0017218A"/>
    <w:rsid w:val="00174533"/>
    <w:rsid w:val="001751ED"/>
    <w:rsid w:val="00176CA9"/>
    <w:rsid w:val="001864E0"/>
    <w:rsid w:val="00191EE6"/>
    <w:rsid w:val="00193F82"/>
    <w:rsid w:val="00194E94"/>
    <w:rsid w:val="00195674"/>
    <w:rsid w:val="001A1854"/>
    <w:rsid w:val="001A318B"/>
    <w:rsid w:val="001A4E39"/>
    <w:rsid w:val="001B07CA"/>
    <w:rsid w:val="001B170F"/>
    <w:rsid w:val="001B2BFC"/>
    <w:rsid w:val="001C0AD6"/>
    <w:rsid w:val="001C1C29"/>
    <w:rsid w:val="001C37FA"/>
    <w:rsid w:val="001C5235"/>
    <w:rsid w:val="001C5CEB"/>
    <w:rsid w:val="001E1F5A"/>
    <w:rsid w:val="001E352C"/>
    <w:rsid w:val="001E536D"/>
    <w:rsid w:val="001F183A"/>
    <w:rsid w:val="001F1EB4"/>
    <w:rsid w:val="001F2008"/>
    <w:rsid w:val="001F4728"/>
    <w:rsid w:val="001F4F50"/>
    <w:rsid w:val="00203051"/>
    <w:rsid w:val="00206661"/>
    <w:rsid w:val="002070F0"/>
    <w:rsid w:val="0021293A"/>
    <w:rsid w:val="002163CB"/>
    <w:rsid w:val="00224A0E"/>
    <w:rsid w:val="0022779E"/>
    <w:rsid w:val="0023515A"/>
    <w:rsid w:val="00237691"/>
    <w:rsid w:val="00237B0F"/>
    <w:rsid w:val="00240238"/>
    <w:rsid w:val="00241E7A"/>
    <w:rsid w:val="00244F11"/>
    <w:rsid w:val="0024519D"/>
    <w:rsid w:val="0024534F"/>
    <w:rsid w:val="00250375"/>
    <w:rsid w:val="002553CE"/>
    <w:rsid w:val="00256CF7"/>
    <w:rsid w:val="00261C2F"/>
    <w:rsid w:val="00263475"/>
    <w:rsid w:val="0026418D"/>
    <w:rsid w:val="00264BB8"/>
    <w:rsid w:val="00264CD9"/>
    <w:rsid w:val="00265F07"/>
    <w:rsid w:val="0026620C"/>
    <w:rsid w:val="00271F9E"/>
    <w:rsid w:val="00285A1C"/>
    <w:rsid w:val="00290852"/>
    <w:rsid w:val="002A0D8A"/>
    <w:rsid w:val="002A3F1E"/>
    <w:rsid w:val="002B1BF9"/>
    <w:rsid w:val="002B3A88"/>
    <w:rsid w:val="002B3FD6"/>
    <w:rsid w:val="002B5246"/>
    <w:rsid w:val="002C04AC"/>
    <w:rsid w:val="002C2C23"/>
    <w:rsid w:val="002C2EA1"/>
    <w:rsid w:val="002C4894"/>
    <w:rsid w:val="002C72BB"/>
    <w:rsid w:val="002D3EA8"/>
    <w:rsid w:val="002D4AC0"/>
    <w:rsid w:val="002D5A61"/>
    <w:rsid w:val="002D6F7D"/>
    <w:rsid w:val="002E25EF"/>
    <w:rsid w:val="002F3648"/>
    <w:rsid w:val="0030123B"/>
    <w:rsid w:val="00301E2B"/>
    <w:rsid w:val="00301E54"/>
    <w:rsid w:val="00304A0F"/>
    <w:rsid w:val="00310FE3"/>
    <w:rsid w:val="0031178F"/>
    <w:rsid w:val="003175A6"/>
    <w:rsid w:val="00320382"/>
    <w:rsid w:val="00322C35"/>
    <w:rsid w:val="00326524"/>
    <w:rsid w:val="00336C85"/>
    <w:rsid w:val="003374BE"/>
    <w:rsid w:val="003423D0"/>
    <w:rsid w:val="00342E88"/>
    <w:rsid w:val="0034361A"/>
    <w:rsid w:val="00345F8B"/>
    <w:rsid w:val="003461BD"/>
    <w:rsid w:val="003477EB"/>
    <w:rsid w:val="003503B1"/>
    <w:rsid w:val="00351EEF"/>
    <w:rsid w:val="00353157"/>
    <w:rsid w:val="003541AC"/>
    <w:rsid w:val="0036344E"/>
    <w:rsid w:val="00364AFB"/>
    <w:rsid w:val="003666CA"/>
    <w:rsid w:val="00391BEB"/>
    <w:rsid w:val="00391D82"/>
    <w:rsid w:val="00397203"/>
    <w:rsid w:val="003A507B"/>
    <w:rsid w:val="003B01FF"/>
    <w:rsid w:val="003B176B"/>
    <w:rsid w:val="003C2E9D"/>
    <w:rsid w:val="003C44C1"/>
    <w:rsid w:val="003C6B2C"/>
    <w:rsid w:val="003D480C"/>
    <w:rsid w:val="003D6C71"/>
    <w:rsid w:val="003D6D4B"/>
    <w:rsid w:val="003E7998"/>
    <w:rsid w:val="003E7A7D"/>
    <w:rsid w:val="003E7FED"/>
    <w:rsid w:val="003F029C"/>
    <w:rsid w:val="003F2130"/>
    <w:rsid w:val="003F63DD"/>
    <w:rsid w:val="003F6B0C"/>
    <w:rsid w:val="003F7600"/>
    <w:rsid w:val="00400276"/>
    <w:rsid w:val="0040081B"/>
    <w:rsid w:val="0040169F"/>
    <w:rsid w:val="004026CD"/>
    <w:rsid w:val="00403082"/>
    <w:rsid w:val="00410AB0"/>
    <w:rsid w:val="00411E9B"/>
    <w:rsid w:val="004140C2"/>
    <w:rsid w:val="0041419F"/>
    <w:rsid w:val="00416E84"/>
    <w:rsid w:val="00420EFB"/>
    <w:rsid w:val="004241A3"/>
    <w:rsid w:val="00430110"/>
    <w:rsid w:val="00434747"/>
    <w:rsid w:val="00434C05"/>
    <w:rsid w:val="00436E59"/>
    <w:rsid w:val="00437C14"/>
    <w:rsid w:val="004415C3"/>
    <w:rsid w:val="00443FD8"/>
    <w:rsid w:val="004458CB"/>
    <w:rsid w:val="00445BF4"/>
    <w:rsid w:val="0045636C"/>
    <w:rsid w:val="00463FA6"/>
    <w:rsid w:val="004671C5"/>
    <w:rsid w:val="00470156"/>
    <w:rsid w:val="00470998"/>
    <w:rsid w:val="00475FD9"/>
    <w:rsid w:val="004763E7"/>
    <w:rsid w:val="00476A08"/>
    <w:rsid w:val="00480592"/>
    <w:rsid w:val="00484DA9"/>
    <w:rsid w:val="004861CD"/>
    <w:rsid w:val="004874FA"/>
    <w:rsid w:val="00487EA3"/>
    <w:rsid w:val="0049639B"/>
    <w:rsid w:val="004A11CB"/>
    <w:rsid w:val="004A272B"/>
    <w:rsid w:val="004A5712"/>
    <w:rsid w:val="004A6C95"/>
    <w:rsid w:val="004A7402"/>
    <w:rsid w:val="004B06CD"/>
    <w:rsid w:val="004B45FE"/>
    <w:rsid w:val="004B71F0"/>
    <w:rsid w:val="004C4F3B"/>
    <w:rsid w:val="004C73C7"/>
    <w:rsid w:val="004D478E"/>
    <w:rsid w:val="004D5833"/>
    <w:rsid w:val="004E6348"/>
    <w:rsid w:val="004E782F"/>
    <w:rsid w:val="004F14D1"/>
    <w:rsid w:val="004F2D6D"/>
    <w:rsid w:val="004F3036"/>
    <w:rsid w:val="004F79AD"/>
    <w:rsid w:val="00511CF7"/>
    <w:rsid w:val="0052040D"/>
    <w:rsid w:val="00520475"/>
    <w:rsid w:val="00522E90"/>
    <w:rsid w:val="00524379"/>
    <w:rsid w:val="005245D2"/>
    <w:rsid w:val="00535711"/>
    <w:rsid w:val="005414BB"/>
    <w:rsid w:val="005437FF"/>
    <w:rsid w:val="005446C5"/>
    <w:rsid w:val="00544D3A"/>
    <w:rsid w:val="0054566E"/>
    <w:rsid w:val="0055026D"/>
    <w:rsid w:val="00550FF1"/>
    <w:rsid w:val="0055164A"/>
    <w:rsid w:val="005570CE"/>
    <w:rsid w:val="00557168"/>
    <w:rsid w:val="005606CC"/>
    <w:rsid w:val="00564E91"/>
    <w:rsid w:val="005678BB"/>
    <w:rsid w:val="00570B68"/>
    <w:rsid w:val="00573CBD"/>
    <w:rsid w:val="00580BB5"/>
    <w:rsid w:val="005835EB"/>
    <w:rsid w:val="00585FF1"/>
    <w:rsid w:val="00586C5C"/>
    <w:rsid w:val="00586F43"/>
    <w:rsid w:val="00593EEA"/>
    <w:rsid w:val="00596B01"/>
    <w:rsid w:val="005A26AB"/>
    <w:rsid w:val="005A2ED3"/>
    <w:rsid w:val="005A4BE7"/>
    <w:rsid w:val="005A71B7"/>
    <w:rsid w:val="005B221E"/>
    <w:rsid w:val="005B2350"/>
    <w:rsid w:val="005B296C"/>
    <w:rsid w:val="005C26FA"/>
    <w:rsid w:val="005C414C"/>
    <w:rsid w:val="005C41DA"/>
    <w:rsid w:val="005D164A"/>
    <w:rsid w:val="005D1F0F"/>
    <w:rsid w:val="005D3888"/>
    <w:rsid w:val="005D5000"/>
    <w:rsid w:val="005D5709"/>
    <w:rsid w:val="005D6B7B"/>
    <w:rsid w:val="005E3691"/>
    <w:rsid w:val="005E5E94"/>
    <w:rsid w:val="005E66F0"/>
    <w:rsid w:val="00601063"/>
    <w:rsid w:val="00601123"/>
    <w:rsid w:val="00601A5A"/>
    <w:rsid w:val="00602D42"/>
    <w:rsid w:val="00604034"/>
    <w:rsid w:val="0060459B"/>
    <w:rsid w:val="0061592E"/>
    <w:rsid w:val="00615AD9"/>
    <w:rsid w:val="00617B44"/>
    <w:rsid w:val="00620308"/>
    <w:rsid w:val="006218DC"/>
    <w:rsid w:val="0063096B"/>
    <w:rsid w:val="00636D1A"/>
    <w:rsid w:val="006436F9"/>
    <w:rsid w:val="0065601A"/>
    <w:rsid w:val="00664DEA"/>
    <w:rsid w:val="00666592"/>
    <w:rsid w:val="00666951"/>
    <w:rsid w:val="00667A9C"/>
    <w:rsid w:val="00667B49"/>
    <w:rsid w:val="0067146C"/>
    <w:rsid w:val="00672138"/>
    <w:rsid w:val="00672929"/>
    <w:rsid w:val="00674D45"/>
    <w:rsid w:val="00674ED4"/>
    <w:rsid w:val="00675239"/>
    <w:rsid w:val="006806DE"/>
    <w:rsid w:val="0068254B"/>
    <w:rsid w:val="00685433"/>
    <w:rsid w:val="00686F4E"/>
    <w:rsid w:val="00687334"/>
    <w:rsid w:val="00692F8C"/>
    <w:rsid w:val="00694318"/>
    <w:rsid w:val="00695075"/>
    <w:rsid w:val="006953F9"/>
    <w:rsid w:val="006A59C4"/>
    <w:rsid w:val="006A658C"/>
    <w:rsid w:val="006A7723"/>
    <w:rsid w:val="006B6044"/>
    <w:rsid w:val="006B6C9E"/>
    <w:rsid w:val="006C28E3"/>
    <w:rsid w:val="006C69FB"/>
    <w:rsid w:val="006C7712"/>
    <w:rsid w:val="006D0412"/>
    <w:rsid w:val="006D10D2"/>
    <w:rsid w:val="006D17A7"/>
    <w:rsid w:val="006D6AE8"/>
    <w:rsid w:val="006F1997"/>
    <w:rsid w:val="006F5035"/>
    <w:rsid w:val="00702ECD"/>
    <w:rsid w:val="00703AF0"/>
    <w:rsid w:val="007053D4"/>
    <w:rsid w:val="007060AA"/>
    <w:rsid w:val="00707B77"/>
    <w:rsid w:val="00711262"/>
    <w:rsid w:val="007117A2"/>
    <w:rsid w:val="00712A27"/>
    <w:rsid w:val="00713CDD"/>
    <w:rsid w:val="00723CCC"/>
    <w:rsid w:val="00725B7E"/>
    <w:rsid w:val="00725EE6"/>
    <w:rsid w:val="00727E52"/>
    <w:rsid w:val="00730E0B"/>
    <w:rsid w:val="00732A29"/>
    <w:rsid w:val="007330F5"/>
    <w:rsid w:val="007356ED"/>
    <w:rsid w:val="0073617F"/>
    <w:rsid w:val="0074568B"/>
    <w:rsid w:val="007457D0"/>
    <w:rsid w:val="00747819"/>
    <w:rsid w:val="007505AE"/>
    <w:rsid w:val="00751D16"/>
    <w:rsid w:val="00755211"/>
    <w:rsid w:val="00760E1B"/>
    <w:rsid w:val="007617FB"/>
    <w:rsid w:val="0076333F"/>
    <w:rsid w:val="00771D9F"/>
    <w:rsid w:val="0077295F"/>
    <w:rsid w:val="007730FB"/>
    <w:rsid w:val="007748F0"/>
    <w:rsid w:val="007750C2"/>
    <w:rsid w:val="007804C5"/>
    <w:rsid w:val="00780A7B"/>
    <w:rsid w:val="0078423F"/>
    <w:rsid w:val="00784330"/>
    <w:rsid w:val="007907D6"/>
    <w:rsid w:val="00790FA3"/>
    <w:rsid w:val="00791FEB"/>
    <w:rsid w:val="0079686D"/>
    <w:rsid w:val="007A04D4"/>
    <w:rsid w:val="007A32E8"/>
    <w:rsid w:val="007A5272"/>
    <w:rsid w:val="007A5395"/>
    <w:rsid w:val="007A7587"/>
    <w:rsid w:val="007A75BB"/>
    <w:rsid w:val="007B143C"/>
    <w:rsid w:val="007C3046"/>
    <w:rsid w:val="007C43C3"/>
    <w:rsid w:val="007E0D8A"/>
    <w:rsid w:val="007E48DD"/>
    <w:rsid w:val="007F2DE0"/>
    <w:rsid w:val="00800AE3"/>
    <w:rsid w:val="008011FD"/>
    <w:rsid w:val="0080589C"/>
    <w:rsid w:val="00805C71"/>
    <w:rsid w:val="00812C09"/>
    <w:rsid w:val="0082191C"/>
    <w:rsid w:val="00824EED"/>
    <w:rsid w:val="00825E94"/>
    <w:rsid w:val="00826AFE"/>
    <w:rsid w:val="00826D4B"/>
    <w:rsid w:val="00830C8A"/>
    <w:rsid w:val="00833217"/>
    <w:rsid w:val="00840864"/>
    <w:rsid w:val="00840F87"/>
    <w:rsid w:val="0084338C"/>
    <w:rsid w:val="00845F2B"/>
    <w:rsid w:val="00847EED"/>
    <w:rsid w:val="00850082"/>
    <w:rsid w:val="008540D4"/>
    <w:rsid w:val="008559E4"/>
    <w:rsid w:val="008573DD"/>
    <w:rsid w:val="00861CE9"/>
    <w:rsid w:val="00864455"/>
    <w:rsid w:val="00865036"/>
    <w:rsid w:val="00870CB3"/>
    <w:rsid w:val="00873370"/>
    <w:rsid w:val="0087499A"/>
    <w:rsid w:val="00875DC9"/>
    <w:rsid w:val="008816EF"/>
    <w:rsid w:val="00882094"/>
    <w:rsid w:val="0088211A"/>
    <w:rsid w:val="0088236F"/>
    <w:rsid w:val="008845D8"/>
    <w:rsid w:val="00884902"/>
    <w:rsid w:val="008862B3"/>
    <w:rsid w:val="00891DFC"/>
    <w:rsid w:val="008A2335"/>
    <w:rsid w:val="008A4202"/>
    <w:rsid w:val="008A4DAF"/>
    <w:rsid w:val="008A7500"/>
    <w:rsid w:val="008B0D67"/>
    <w:rsid w:val="008B115D"/>
    <w:rsid w:val="008B62C7"/>
    <w:rsid w:val="008C0273"/>
    <w:rsid w:val="008C24A5"/>
    <w:rsid w:val="008C7C90"/>
    <w:rsid w:val="008D58AB"/>
    <w:rsid w:val="008D5986"/>
    <w:rsid w:val="008D62F6"/>
    <w:rsid w:val="008D6A45"/>
    <w:rsid w:val="008D78B2"/>
    <w:rsid w:val="008E0073"/>
    <w:rsid w:val="008E0965"/>
    <w:rsid w:val="008E7CBB"/>
    <w:rsid w:val="008F0A47"/>
    <w:rsid w:val="008F364C"/>
    <w:rsid w:val="008F6954"/>
    <w:rsid w:val="00902745"/>
    <w:rsid w:val="00902CBD"/>
    <w:rsid w:val="00903CC7"/>
    <w:rsid w:val="009146D6"/>
    <w:rsid w:val="009157B3"/>
    <w:rsid w:val="00915F3A"/>
    <w:rsid w:val="00916B3E"/>
    <w:rsid w:val="0092044C"/>
    <w:rsid w:val="0092281C"/>
    <w:rsid w:val="00923B96"/>
    <w:rsid w:val="00923FAF"/>
    <w:rsid w:val="00924145"/>
    <w:rsid w:val="00925612"/>
    <w:rsid w:val="00932A47"/>
    <w:rsid w:val="00932D3A"/>
    <w:rsid w:val="0093384B"/>
    <w:rsid w:val="00936896"/>
    <w:rsid w:val="00937BD5"/>
    <w:rsid w:val="00945829"/>
    <w:rsid w:val="00947207"/>
    <w:rsid w:val="00953423"/>
    <w:rsid w:val="0096021A"/>
    <w:rsid w:val="00960F76"/>
    <w:rsid w:val="00965164"/>
    <w:rsid w:val="00966FCC"/>
    <w:rsid w:val="00970563"/>
    <w:rsid w:val="009724EF"/>
    <w:rsid w:val="00972F90"/>
    <w:rsid w:val="00973B63"/>
    <w:rsid w:val="00981F83"/>
    <w:rsid w:val="00982901"/>
    <w:rsid w:val="00982F31"/>
    <w:rsid w:val="00983646"/>
    <w:rsid w:val="00986A3A"/>
    <w:rsid w:val="009A0293"/>
    <w:rsid w:val="009A16D1"/>
    <w:rsid w:val="009A471F"/>
    <w:rsid w:val="009A4F5C"/>
    <w:rsid w:val="009A67F1"/>
    <w:rsid w:val="009A7BB7"/>
    <w:rsid w:val="009B22F5"/>
    <w:rsid w:val="009B5FC8"/>
    <w:rsid w:val="009B6314"/>
    <w:rsid w:val="009B6D0C"/>
    <w:rsid w:val="009C275E"/>
    <w:rsid w:val="009C54D1"/>
    <w:rsid w:val="009D3958"/>
    <w:rsid w:val="009D6AC2"/>
    <w:rsid w:val="009D6FA7"/>
    <w:rsid w:val="009E634E"/>
    <w:rsid w:val="009E66AD"/>
    <w:rsid w:val="009F7B1C"/>
    <w:rsid w:val="009F7CC9"/>
    <w:rsid w:val="00A01127"/>
    <w:rsid w:val="00A05956"/>
    <w:rsid w:val="00A06ACE"/>
    <w:rsid w:val="00A10263"/>
    <w:rsid w:val="00A14EE0"/>
    <w:rsid w:val="00A16291"/>
    <w:rsid w:val="00A20FFC"/>
    <w:rsid w:val="00A2154F"/>
    <w:rsid w:val="00A27645"/>
    <w:rsid w:val="00A27E3F"/>
    <w:rsid w:val="00A300BC"/>
    <w:rsid w:val="00A35695"/>
    <w:rsid w:val="00A418CD"/>
    <w:rsid w:val="00A44EBF"/>
    <w:rsid w:val="00A53F37"/>
    <w:rsid w:val="00A56BEE"/>
    <w:rsid w:val="00A62A25"/>
    <w:rsid w:val="00A63895"/>
    <w:rsid w:val="00A63C94"/>
    <w:rsid w:val="00A649CF"/>
    <w:rsid w:val="00A65463"/>
    <w:rsid w:val="00A72650"/>
    <w:rsid w:val="00A7624F"/>
    <w:rsid w:val="00A8053C"/>
    <w:rsid w:val="00A81735"/>
    <w:rsid w:val="00A8320C"/>
    <w:rsid w:val="00A90020"/>
    <w:rsid w:val="00A93D26"/>
    <w:rsid w:val="00AA0081"/>
    <w:rsid w:val="00AA1911"/>
    <w:rsid w:val="00AB1D79"/>
    <w:rsid w:val="00AB532B"/>
    <w:rsid w:val="00AB6661"/>
    <w:rsid w:val="00AB6953"/>
    <w:rsid w:val="00AC3440"/>
    <w:rsid w:val="00AC3721"/>
    <w:rsid w:val="00AD21ED"/>
    <w:rsid w:val="00AD5969"/>
    <w:rsid w:val="00AD696C"/>
    <w:rsid w:val="00AE01F3"/>
    <w:rsid w:val="00AE1A8F"/>
    <w:rsid w:val="00AE5F93"/>
    <w:rsid w:val="00AF0C50"/>
    <w:rsid w:val="00AF0E56"/>
    <w:rsid w:val="00AF1452"/>
    <w:rsid w:val="00AF5C16"/>
    <w:rsid w:val="00AF5C3D"/>
    <w:rsid w:val="00AF6619"/>
    <w:rsid w:val="00AF6F68"/>
    <w:rsid w:val="00AF7CE3"/>
    <w:rsid w:val="00B00064"/>
    <w:rsid w:val="00B01768"/>
    <w:rsid w:val="00B01B31"/>
    <w:rsid w:val="00B057CE"/>
    <w:rsid w:val="00B05AA7"/>
    <w:rsid w:val="00B107D7"/>
    <w:rsid w:val="00B10809"/>
    <w:rsid w:val="00B144B8"/>
    <w:rsid w:val="00B15F13"/>
    <w:rsid w:val="00B2098A"/>
    <w:rsid w:val="00B2558D"/>
    <w:rsid w:val="00B273E2"/>
    <w:rsid w:val="00B30766"/>
    <w:rsid w:val="00B32983"/>
    <w:rsid w:val="00B37079"/>
    <w:rsid w:val="00B42690"/>
    <w:rsid w:val="00B43A42"/>
    <w:rsid w:val="00B445CF"/>
    <w:rsid w:val="00B454FA"/>
    <w:rsid w:val="00B46183"/>
    <w:rsid w:val="00B47191"/>
    <w:rsid w:val="00B47440"/>
    <w:rsid w:val="00B50EA0"/>
    <w:rsid w:val="00B52110"/>
    <w:rsid w:val="00B52156"/>
    <w:rsid w:val="00B55E7F"/>
    <w:rsid w:val="00B57C88"/>
    <w:rsid w:val="00B62AB9"/>
    <w:rsid w:val="00B665D4"/>
    <w:rsid w:val="00B743C6"/>
    <w:rsid w:val="00B76B95"/>
    <w:rsid w:val="00B772A5"/>
    <w:rsid w:val="00B81193"/>
    <w:rsid w:val="00B81259"/>
    <w:rsid w:val="00B81ABA"/>
    <w:rsid w:val="00B92A61"/>
    <w:rsid w:val="00BA6A5A"/>
    <w:rsid w:val="00BA7A19"/>
    <w:rsid w:val="00BB0FAC"/>
    <w:rsid w:val="00BB1B38"/>
    <w:rsid w:val="00BB2217"/>
    <w:rsid w:val="00BB3B7A"/>
    <w:rsid w:val="00BC108C"/>
    <w:rsid w:val="00BC6DC9"/>
    <w:rsid w:val="00BD0897"/>
    <w:rsid w:val="00BD1868"/>
    <w:rsid w:val="00BD30C1"/>
    <w:rsid w:val="00BD7443"/>
    <w:rsid w:val="00BE3396"/>
    <w:rsid w:val="00BE46A7"/>
    <w:rsid w:val="00BE48C7"/>
    <w:rsid w:val="00BE5197"/>
    <w:rsid w:val="00BE79D4"/>
    <w:rsid w:val="00BE7A2C"/>
    <w:rsid w:val="00BF2966"/>
    <w:rsid w:val="00BF3E5A"/>
    <w:rsid w:val="00BF3FD4"/>
    <w:rsid w:val="00C00BDD"/>
    <w:rsid w:val="00C023A8"/>
    <w:rsid w:val="00C04905"/>
    <w:rsid w:val="00C04C2F"/>
    <w:rsid w:val="00C05184"/>
    <w:rsid w:val="00C06D99"/>
    <w:rsid w:val="00C12AE0"/>
    <w:rsid w:val="00C22EB4"/>
    <w:rsid w:val="00C240BB"/>
    <w:rsid w:val="00C25B7C"/>
    <w:rsid w:val="00C277CC"/>
    <w:rsid w:val="00C3079A"/>
    <w:rsid w:val="00C334F2"/>
    <w:rsid w:val="00C359F8"/>
    <w:rsid w:val="00C360E1"/>
    <w:rsid w:val="00C36B35"/>
    <w:rsid w:val="00C412E5"/>
    <w:rsid w:val="00C431FC"/>
    <w:rsid w:val="00C47C0F"/>
    <w:rsid w:val="00C5093C"/>
    <w:rsid w:val="00C50C5F"/>
    <w:rsid w:val="00C51687"/>
    <w:rsid w:val="00C52208"/>
    <w:rsid w:val="00C5414A"/>
    <w:rsid w:val="00C558C1"/>
    <w:rsid w:val="00C565DC"/>
    <w:rsid w:val="00C61C5C"/>
    <w:rsid w:val="00C64DE9"/>
    <w:rsid w:val="00C65BEA"/>
    <w:rsid w:val="00C65C2A"/>
    <w:rsid w:val="00C661E7"/>
    <w:rsid w:val="00C66A5A"/>
    <w:rsid w:val="00C701F0"/>
    <w:rsid w:val="00C72BB4"/>
    <w:rsid w:val="00C76513"/>
    <w:rsid w:val="00C76A61"/>
    <w:rsid w:val="00C77488"/>
    <w:rsid w:val="00C805A6"/>
    <w:rsid w:val="00C814E1"/>
    <w:rsid w:val="00C90C72"/>
    <w:rsid w:val="00C97869"/>
    <w:rsid w:val="00CA1F85"/>
    <w:rsid w:val="00CB36C8"/>
    <w:rsid w:val="00CB3E88"/>
    <w:rsid w:val="00CB5212"/>
    <w:rsid w:val="00CB6952"/>
    <w:rsid w:val="00CC08F2"/>
    <w:rsid w:val="00CD018C"/>
    <w:rsid w:val="00CD1CC3"/>
    <w:rsid w:val="00CD43AB"/>
    <w:rsid w:val="00CD72DE"/>
    <w:rsid w:val="00CD7EFA"/>
    <w:rsid w:val="00CE10A1"/>
    <w:rsid w:val="00CE235A"/>
    <w:rsid w:val="00CE4B6A"/>
    <w:rsid w:val="00CE76AC"/>
    <w:rsid w:val="00CF62CE"/>
    <w:rsid w:val="00D04A50"/>
    <w:rsid w:val="00D14604"/>
    <w:rsid w:val="00D25753"/>
    <w:rsid w:val="00D319F2"/>
    <w:rsid w:val="00D31B25"/>
    <w:rsid w:val="00D337DD"/>
    <w:rsid w:val="00D340FB"/>
    <w:rsid w:val="00D3657A"/>
    <w:rsid w:val="00D41979"/>
    <w:rsid w:val="00D460D2"/>
    <w:rsid w:val="00D46479"/>
    <w:rsid w:val="00D537B7"/>
    <w:rsid w:val="00D557CA"/>
    <w:rsid w:val="00D56213"/>
    <w:rsid w:val="00D6181D"/>
    <w:rsid w:val="00D65E54"/>
    <w:rsid w:val="00D65E9E"/>
    <w:rsid w:val="00D74362"/>
    <w:rsid w:val="00D77798"/>
    <w:rsid w:val="00D80370"/>
    <w:rsid w:val="00D81553"/>
    <w:rsid w:val="00D87267"/>
    <w:rsid w:val="00D876A6"/>
    <w:rsid w:val="00D87914"/>
    <w:rsid w:val="00D9245D"/>
    <w:rsid w:val="00D93AA0"/>
    <w:rsid w:val="00D946FB"/>
    <w:rsid w:val="00D968CB"/>
    <w:rsid w:val="00DA034C"/>
    <w:rsid w:val="00DA0E8A"/>
    <w:rsid w:val="00DA1B2E"/>
    <w:rsid w:val="00DA3E37"/>
    <w:rsid w:val="00DA4CC8"/>
    <w:rsid w:val="00DB15AF"/>
    <w:rsid w:val="00DB31D2"/>
    <w:rsid w:val="00DB5731"/>
    <w:rsid w:val="00DB5A6C"/>
    <w:rsid w:val="00DC1242"/>
    <w:rsid w:val="00DC1294"/>
    <w:rsid w:val="00DC2250"/>
    <w:rsid w:val="00DC4362"/>
    <w:rsid w:val="00DD5033"/>
    <w:rsid w:val="00DD6CFD"/>
    <w:rsid w:val="00DE29E6"/>
    <w:rsid w:val="00DE2E9F"/>
    <w:rsid w:val="00DE3F7B"/>
    <w:rsid w:val="00DE5BC9"/>
    <w:rsid w:val="00DE66E1"/>
    <w:rsid w:val="00DE7C96"/>
    <w:rsid w:val="00DF2005"/>
    <w:rsid w:val="00DF217F"/>
    <w:rsid w:val="00DF3EB2"/>
    <w:rsid w:val="00DF5429"/>
    <w:rsid w:val="00E00F61"/>
    <w:rsid w:val="00E104AD"/>
    <w:rsid w:val="00E1287E"/>
    <w:rsid w:val="00E147B8"/>
    <w:rsid w:val="00E152C5"/>
    <w:rsid w:val="00E21D88"/>
    <w:rsid w:val="00E2687D"/>
    <w:rsid w:val="00E30067"/>
    <w:rsid w:val="00E30AAA"/>
    <w:rsid w:val="00E3177B"/>
    <w:rsid w:val="00E3518B"/>
    <w:rsid w:val="00E472E5"/>
    <w:rsid w:val="00E4768F"/>
    <w:rsid w:val="00E507F5"/>
    <w:rsid w:val="00E53459"/>
    <w:rsid w:val="00E543D5"/>
    <w:rsid w:val="00E618A3"/>
    <w:rsid w:val="00E62CB8"/>
    <w:rsid w:val="00E64452"/>
    <w:rsid w:val="00E6468B"/>
    <w:rsid w:val="00E65554"/>
    <w:rsid w:val="00E67E96"/>
    <w:rsid w:val="00E76001"/>
    <w:rsid w:val="00E90674"/>
    <w:rsid w:val="00E94264"/>
    <w:rsid w:val="00E9486F"/>
    <w:rsid w:val="00E95BAC"/>
    <w:rsid w:val="00EA149A"/>
    <w:rsid w:val="00EA76D3"/>
    <w:rsid w:val="00EB5296"/>
    <w:rsid w:val="00EB666D"/>
    <w:rsid w:val="00EB76CB"/>
    <w:rsid w:val="00EC27DC"/>
    <w:rsid w:val="00EC44B2"/>
    <w:rsid w:val="00EC6DA8"/>
    <w:rsid w:val="00ED33B3"/>
    <w:rsid w:val="00ED650E"/>
    <w:rsid w:val="00ED692C"/>
    <w:rsid w:val="00EE5C87"/>
    <w:rsid w:val="00EF1CF7"/>
    <w:rsid w:val="00EF32E7"/>
    <w:rsid w:val="00EF3964"/>
    <w:rsid w:val="00EF51BA"/>
    <w:rsid w:val="00EF7F3B"/>
    <w:rsid w:val="00F03F1A"/>
    <w:rsid w:val="00F06795"/>
    <w:rsid w:val="00F06B64"/>
    <w:rsid w:val="00F10C5E"/>
    <w:rsid w:val="00F13C50"/>
    <w:rsid w:val="00F143ED"/>
    <w:rsid w:val="00F1579C"/>
    <w:rsid w:val="00F15C44"/>
    <w:rsid w:val="00F21DC5"/>
    <w:rsid w:val="00F26331"/>
    <w:rsid w:val="00F26F7E"/>
    <w:rsid w:val="00F32F0D"/>
    <w:rsid w:val="00F33BD9"/>
    <w:rsid w:val="00F35C78"/>
    <w:rsid w:val="00F43C31"/>
    <w:rsid w:val="00F45D49"/>
    <w:rsid w:val="00F46160"/>
    <w:rsid w:val="00F46C67"/>
    <w:rsid w:val="00F5455D"/>
    <w:rsid w:val="00F55946"/>
    <w:rsid w:val="00F61358"/>
    <w:rsid w:val="00F65712"/>
    <w:rsid w:val="00F6751F"/>
    <w:rsid w:val="00F70CBF"/>
    <w:rsid w:val="00F71617"/>
    <w:rsid w:val="00F7215F"/>
    <w:rsid w:val="00F721DB"/>
    <w:rsid w:val="00F72519"/>
    <w:rsid w:val="00F73E11"/>
    <w:rsid w:val="00F75413"/>
    <w:rsid w:val="00F754DA"/>
    <w:rsid w:val="00F7746D"/>
    <w:rsid w:val="00F81704"/>
    <w:rsid w:val="00F8232E"/>
    <w:rsid w:val="00F86274"/>
    <w:rsid w:val="00F90243"/>
    <w:rsid w:val="00F9415B"/>
    <w:rsid w:val="00F951E5"/>
    <w:rsid w:val="00F956E1"/>
    <w:rsid w:val="00F957B4"/>
    <w:rsid w:val="00FA2B78"/>
    <w:rsid w:val="00FA3977"/>
    <w:rsid w:val="00FA425F"/>
    <w:rsid w:val="00FA4AC0"/>
    <w:rsid w:val="00FA55A3"/>
    <w:rsid w:val="00FB374B"/>
    <w:rsid w:val="00FB60B7"/>
    <w:rsid w:val="00FB656D"/>
    <w:rsid w:val="00FB6FD4"/>
    <w:rsid w:val="00FB7189"/>
    <w:rsid w:val="00FC08CE"/>
    <w:rsid w:val="00FC1670"/>
    <w:rsid w:val="00FC1FDE"/>
    <w:rsid w:val="00FC293F"/>
    <w:rsid w:val="00FC2A75"/>
    <w:rsid w:val="00FC3E56"/>
    <w:rsid w:val="00FC6B7B"/>
    <w:rsid w:val="00FD134E"/>
    <w:rsid w:val="00FD29F3"/>
    <w:rsid w:val="00FE1A1A"/>
    <w:rsid w:val="00FE215D"/>
    <w:rsid w:val="00FE2609"/>
    <w:rsid w:val="00FE4E9D"/>
    <w:rsid w:val="00FE7823"/>
    <w:rsid w:val="00FF196E"/>
    <w:rsid w:val="00FF40B4"/>
    <w:rsid w:val="00FF5A13"/>
    <w:rsid w:val="00FF7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6535"/>
  <w15:docId w15:val="{F84AFD1C-C8DB-4889-BA57-277768D8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97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979"/>
    <w:pPr>
      <w:spacing w:after="0" w:line="240" w:lineRule="auto"/>
    </w:pPr>
    <w:rPr>
      <w:rFonts w:ascii="Calibri" w:eastAsia="Calibri" w:hAnsi="Calibri" w:cs="Times New Roman"/>
    </w:rPr>
  </w:style>
  <w:style w:type="paragraph" w:styleId="FootnoteText">
    <w:name w:val="footnote text"/>
    <w:basedOn w:val="Normal"/>
    <w:link w:val="FootnoteTextChar"/>
    <w:rsid w:val="00D41979"/>
    <w:pPr>
      <w:spacing w:after="0" w:line="240" w:lineRule="auto"/>
    </w:pPr>
    <w:rPr>
      <w:rFonts w:ascii="Times New Roman" w:eastAsia="SimSun" w:hAnsi="Times New Roman"/>
      <w:sz w:val="20"/>
      <w:szCs w:val="20"/>
    </w:rPr>
  </w:style>
  <w:style w:type="character" w:customStyle="1" w:styleId="FootnoteTextChar">
    <w:name w:val="Footnote Text Char"/>
    <w:basedOn w:val="DefaultParagraphFont"/>
    <w:link w:val="FootnoteText"/>
    <w:rsid w:val="00D41979"/>
    <w:rPr>
      <w:rFonts w:ascii="Times New Roman" w:eastAsia="SimSun" w:hAnsi="Times New Roman" w:cs="Times New Roman"/>
      <w:sz w:val="20"/>
      <w:szCs w:val="20"/>
    </w:rPr>
  </w:style>
  <w:style w:type="character" w:styleId="FootnoteReference">
    <w:name w:val="footnote reference"/>
    <w:basedOn w:val="DefaultParagraphFont"/>
    <w:rsid w:val="00D41979"/>
    <w:rPr>
      <w:vertAlign w:val="superscript"/>
    </w:rPr>
  </w:style>
  <w:style w:type="paragraph" w:styleId="Header">
    <w:name w:val="header"/>
    <w:basedOn w:val="Normal"/>
    <w:link w:val="HeaderChar"/>
    <w:uiPriority w:val="99"/>
    <w:unhideWhenUsed/>
    <w:rsid w:val="00D41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979"/>
    <w:rPr>
      <w:rFonts w:ascii="Calibri" w:eastAsia="Calibri" w:hAnsi="Calibri" w:cs="Times New Roman"/>
    </w:rPr>
  </w:style>
  <w:style w:type="paragraph" w:styleId="Footer">
    <w:name w:val="footer"/>
    <w:basedOn w:val="Normal"/>
    <w:link w:val="FooterChar"/>
    <w:uiPriority w:val="99"/>
    <w:unhideWhenUsed/>
    <w:rsid w:val="00D41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979"/>
    <w:rPr>
      <w:rFonts w:ascii="Calibri" w:eastAsia="Calibri" w:hAnsi="Calibri" w:cs="Times New Roman"/>
    </w:rPr>
  </w:style>
  <w:style w:type="paragraph" w:customStyle="1" w:styleId="EndNoteBibliographyTitle">
    <w:name w:val="EndNote Bibliography Title"/>
    <w:basedOn w:val="Normal"/>
    <w:link w:val="EndNoteBibliographyTitleChar"/>
    <w:rsid w:val="00D41979"/>
    <w:pPr>
      <w:spacing w:after="0"/>
      <w:jc w:val="center"/>
    </w:pPr>
    <w:rPr>
      <w:noProof/>
    </w:rPr>
  </w:style>
  <w:style w:type="character" w:customStyle="1" w:styleId="EndNoteBibliographyTitleChar">
    <w:name w:val="EndNote Bibliography Title Char"/>
    <w:basedOn w:val="DefaultParagraphFont"/>
    <w:link w:val="EndNoteBibliographyTitle"/>
    <w:rsid w:val="00D41979"/>
    <w:rPr>
      <w:rFonts w:ascii="Calibri" w:eastAsia="Calibri" w:hAnsi="Calibri" w:cs="Times New Roman"/>
      <w:noProof/>
    </w:rPr>
  </w:style>
  <w:style w:type="paragraph" w:customStyle="1" w:styleId="EndNoteBibliography">
    <w:name w:val="EndNote Bibliography"/>
    <w:basedOn w:val="Normal"/>
    <w:link w:val="EndNoteBibliographyChar"/>
    <w:rsid w:val="00D41979"/>
    <w:pPr>
      <w:spacing w:line="240" w:lineRule="auto"/>
    </w:pPr>
    <w:rPr>
      <w:noProof/>
    </w:rPr>
  </w:style>
  <w:style w:type="character" w:customStyle="1" w:styleId="EndNoteBibliographyChar">
    <w:name w:val="EndNote Bibliography Char"/>
    <w:basedOn w:val="DefaultParagraphFont"/>
    <w:link w:val="EndNoteBibliography"/>
    <w:rsid w:val="00D41979"/>
    <w:rPr>
      <w:rFonts w:ascii="Calibri" w:eastAsia="Calibri" w:hAnsi="Calibri" w:cs="Times New Roman"/>
      <w:noProof/>
    </w:rPr>
  </w:style>
  <w:style w:type="character" w:styleId="Hyperlink">
    <w:name w:val="Hyperlink"/>
    <w:basedOn w:val="DefaultParagraphFont"/>
    <w:uiPriority w:val="99"/>
    <w:unhideWhenUsed/>
    <w:rsid w:val="00D41979"/>
    <w:rPr>
      <w:color w:val="0000FF" w:themeColor="hyperlink"/>
      <w:u w:val="single"/>
    </w:rPr>
  </w:style>
  <w:style w:type="paragraph" w:styleId="ListParagraph">
    <w:name w:val="List Paragraph"/>
    <w:basedOn w:val="Normal"/>
    <w:uiPriority w:val="34"/>
    <w:qFormat/>
    <w:rsid w:val="00D41979"/>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D41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1979"/>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41979"/>
    <w:rPr>
      <w:rFonts w:ascii="Segoe UI" w:hAnsi="Segoe UI" w:cs="Segoe UI"/>
      <w:sz w:val="18"/>
      <w:szCs w:val="18"/>
    </w:rPr>
  </w:style>
  <w:style w:type="character" w:styleId="Strong">
    <w:name w:val="Strong"/>
    <w:basedOn w:val="DefaultParagraphFont"/>
    <w:uiPriority w:val="22"/>
    <w:qFormat/>
    <w:rsid w:val="008433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6739">
      <w:bodyDiv w:val="1"/>
      <w:marLeft w:val="0"/>
      <w:marRight w:val="0"/>
      <w:marTop w:val="0"/>
      <w:marBottom w:val="0"/>
      <w:divBdr>
        <w:top w:val="none" w:sz="0" w:space="0" w:color="auto"/>
        <w:left w:val="none" w:sz="0" w:space="0" w:color="auto"/>
        <w:bottom w:val="none" w:sz="0" w:space="0" w:color="auto"/>
        <w:right w:val="none" w:sz="0" w:space="0" w:color="auto"/>
      </w:divBdr>
    </w:div>
    <w:div w:id="4833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research\corporate%20venturing\summary%20sheets\AOM2005\Paper\JBV\Zahra_1995_03.pdf" TargetMode="Externa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hyperlink" Target="http://www.blackwell-synergy.com/doi/abs/10.1111/j.1540-6520.2005.00095.x" TargetMode="Externa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i_Yang\Dropbox\research\CVC%20M&amp;A\data\results\2017%20moderator%20effects\2-way_with_major%20investor%20moderator%20on%20RD.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i_Yang\Dropbox\research\CVC%20M&amp;A\data\results\2017%20moderator%20effects\2-way_with_major%20investor%20moderator%20on%20RD.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i_Yang\Dropbox\research\CVC%20M&amp;A\data\results\2017%20moderator%20effects\2-way_with_all%20small%20moderator%20on%20RD.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i_Yang\Dropbox\research\CVC%20M&amp;A\data\results\2017%20moderator%20effects\2-way_with_all%20small%20moderator%20on%20RD%20third%20party.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tx>
            <c:strRef>
              <c:f>Sheet1!$G$39</c:f>
              <c:strCache>
                <c:ptCount val="1"/>
                <c:pt idx="0">
                  <c:v>Acquisition by CVC Investor</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Sheet1!$E$40:$E$72</c:f>
              <c:numCache>
                <c:formatCode>General</c:formatCode>
                <c:ptCount val="33"/>
                <c:pt idx="0">
                  <c:v>1982</c:v>
                </c:pt>
                <c:pt idx="1">
                  <c:v>1983</c:v>
                </c:pt>
                <c:pt idx="2">
                  <c:v>1984</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pt idx="29">
                  <c:v>2012</c:v>
                </c:pt>
                <c:pt idx="30">
                  <c:v>2013</c:v>
                </c:pt>
                <c:pt idx="31">
                  <c:v>2014</c:v>
                </c:pt>
                <c:pt idx="32">
                  <c:v>2015</c:v>
                </c:pt>
              </c:numCache>
            </c:numRef>
          </c:xVal>
          <c:yVal>
            <c:numRef>
              <c:f>Sheet1!$G$40:$G$72</c:f>
              <c:numCache>
                <c:formatCode>General</c:formatCode>
                <c:ptCount val="33"/>
                <c:pt idx="0">
                  <c:v>1</c:v>
                </c:pt>
                <c:pt idx="1">
                  <c:v>2</c:v>
                </c:pt>
                <c:pt idx="2">
                  <c:v>6</c:v>
                </c:pt>
                <c:pt idx="3">
                  <c:v>5</c:v>
                </c:pt>
                <c:pt idx="4">
                  <c:v>7</c:v>
                </c:pt>
                <c:pt idx="5">
                  <c:v>7</c:v>
                </c:pt>
                <c:pt idx="6">
                  <c:v>6</c:v>
                </c:pt>
                <c:pt idx="7">
                  <c:v>2</c:v>
                </c:pt>
                <c:pt idx="8">
                  <c:v>7</c:v>
                </c:pt>
                <c:pt idx="9">
                  <c:v>5</c:v>
                </c:pt>
                <c:pt idx="10">
                  <c:v>4</c:v>
                </c:pt>
                <c:pt idx="11">
                  <c:v>13</c:v>
                </c:pt>
                <c:pt idx="12">
                  <c:v>11</c:v>
                </c:pt>
                <c:pt idx="13">
                  <c:v>16</c:v>
                </c:pt>
                <c:pt idx="14">
                  <c:v>16</c:v>
                </c:pt>
                <c:pt idx="15">
                  <c:v>33</c:v>
                </c:pt>
                <c:pt idx="16">
                  <c:v>58</c:v>
                </c:pt>
                <c:pt idx="17">
                  <c:v>81</c:v>
                </c:pt>
                <c:pt idx="18">
                  <c:v>61</c:v>
                </c:pt>
                <c:pt idx="19">
                  <c:v>67</c:v>
                </c:pt>
                <c:pt idx="20">
                  <c:v>69</c:v>
                </c:pt>
                <c:pt idx="21">
                  <c:v>99</c:v>
                </c:pt>
                <c:pt idx="22">
                  <c:v>86</c:v>
                </c:pt>
                <c:pt idx="23">
                  <c:v>72</c:v>
                </c:pt>
                <c:pt idx="24">
                  <c:v>66</c:v>
                </c:pt>
                <c:pt idx="25">
                  <c:v>40</c:v>
                </c:pt>
                <c:pt idx="26">
                  <c:v>36</c:v>
                </c:pt>
                <c:pt idx="27">
                  <c:v>69</c:v>
                </c:pt>
                <c:pt idx="28">
                  <c:v>83</c:v>
                </c:pt>
                <c:pt idx="29">
                  <c:v>97</c:v>
                </c:pt>
                <c:pt idx="30">
                  <c:v>70</c:v>
                </c:pt>
                <c:pt idx="31">
                  <c:v>99</c:v>
                </c:pt>
                <c:pt idx="32">
                  <c:v>45</c:v>
                </c:pt>
              </c:numCache>
            </c:numRef>
          </c:yVal>
          <c:smooth val="0"/>
          <c:extLst>
            <c:ext xmlns:c16="http://schemas.microsoft.com/office/drawing/2014/chart" uri="{C3380CC4-5D6E-409C-BE32-E72D297353CC}">
              <c16:uniqueId val="{00000000-2D1B-4A4A-9261-DF9706692DE4}"/>
            </c:ext>
          </c:extLst>
        </c:ser>
        <c:ser>
          <c:idx val="2"/>
          <c:order val="1"/>
          <c:tx>
            <c:strRef>
              <c:f>Sheet1!$H$39</c:f>
              <c:strCache>
                <c:ptCount val="1"/>
                <c:pt idx="0">
                  <c:v>Acquistion by Third-party</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Sheet1!$E$40:$E$72</c:f>
              <c:numCache>
                <c:formatCode>General</c:formatCode>
                <c:ptCount val="33"/>
                <c:pt idx="0">
                  <c:v>1982</c:v>
                </c:pt>
                <c:pt idx="1">
                  <c:v>1983</c:v>
                </c:pt>
                <c:pt idx="2">
                  <c:v>1984</c:v>
                </c:pt>
                <c:pt idx="3">
                  <c:v>1986</c:v>
                </c:pt>
                <c:pt idx="4">
                  <c:v>1987</c:v>
                </c:pt>
                <c:pt idx="5">
                  <c:v>1988</c:v>
                </c:pt>
                <c:pt idx="6">
                  <c:v>1989</c:v>
                </c:pt>
                <c:pt idx="7">
                  <c:v>1990</c:v>
                </c:pt>
                <c:pt idx="8">
                  <c:v>1991</c:v>
                </c:pt>
                <c:pt idx="9">
                  <c:v>1992</c:v>
                </c:pt>
                <c:pt idx="10">
                  <c:v>1993</c:v>
                </c:pt>
                <c:pt idx="11">
                  <c:v>1994</c:v>
                </c:pt>
                <c:pt idx="12">
                  <c:v>1995</c:v>
                </c:pt>
                <c:pt idx="13">
                  <c:v>1996</c:v>
                </c:pt>
                <c:pt idx="14">
                  <c:v>1997</c:v>
                </c:pt>
                <c:pt idx="15">
                  <c:v>1998</c:v>
                </c:pt>
                <c:pt idx="16">
                  <c:v>1999</c:v>
                </c:pt>
                <c:pt idx="17">
                  <c:v>2000</c:v>
                </c:pt>
                <c:pt idx="18">
                  <c:v>2001</c:v>
                </c:pt>
                <c:pt idx="19">
                  <c:v>2002</c:v>
                </c:pt>
                <c:pt idx="20">
                  <c:v>2003</c:v>
                </c:pt>
                <c:pt idx="21">
                  <c:v>2004</c:v>
                </c:pt>
                <c:pt idx="22">
                  <c:v>2005</c:v>
                </c:pt>
                <c:pt idx="23">
                  <c:v>2006</c:v>
                </c:pt>
                <c:pt idx="24">
                  <c:v>2007</c:v>
                </c:pt>
                <c:pt idx="25">
                  <c:v>2008</c:v>
                </c:pt>
                <c:pt idx="26">
                  <c:v>2009</c:v>
                </c:pt>
                <c:pt idx="27">
                  <c:v>2010</c:v>
                </c:pt>
                <c:pt idx="28">
                  <c:v>2011</c:v>
                </c:pt>
                <c:pt idx="29">
                  <c:v>2012</c:v>
                </c:pt>
                <c:pt idx="30">
                  <c:v>2013</c:v>
                </c:pt>
                <c:pt idx="31">
                  <c:v>2014</c:v>
                </c:pt>
                <c:pt idx="32">
                  <c:v>2015</c:v>
                </c:pt>
              </c:numCache>
            </c:numRef>
          </c:xVal>
          <c:yVal>
            <c:numRef>
              <c:f>Sheet1!$H$40:$H$72</c:f>
              <c:numCache>
                <c:formatCode>General</c:formatCode>
                <c:ptCount val="33"/>
                <c:pt idx="0">
                  <c:v>1</c:v>
                </c:pt>
                <c:pt idx="1">
                  <c:v>1</c:v>
                </c:pt>
                <c:pt idx="2">
                  <c:v>3</c:v>
                </c:pt>
                <c:pt idx="3">
                  <c:v>2</c:v>
                </c:pt>
                <c:pt idx="4">
                  <c:v>1</c:v>
                </c:pt>
                <c:pt idx="5">
                  <c:v>1</c:v>
                </c:pt>
                <c:pt idx="6">
                  <c:v>1</c:v>
                </c:pt>
                <c:pt idx="7">
                  <c:v>0</c:v>
                </c:pt>
                <c:pt idx="8">
                  <c:v>0</c:v>
                </c:pt>
                <c:pt idx="9">
                  <c:v>0</c:v>
                </c:pt>
                <c:pt idx="10">
                  <c:v>3</c:v>
                </c:pt>
                <c:pt idx="11">
                  <c:v>2</c:v>
                </c:pt>
                <c:pt idx="12">
                  <c:v>0</c:v>
                </c:pt>
                <c:pt idx="13">
                  <c:v>4</c:v>
                </c:pt>
                <c:pt idx="14">
                  <c:v>3</c:v>
                </c:pt>
                <c:pt idx="15">
                  <c:v>2</c:v>
                </c:pt>
                <c:pt idx="16">
                  <c:v>10</c:v>
                </c:pt>
                <c:pt idx="17">
                  <c:v>28</c:v>
                </c:pt>
                <c:pt idx="18">
                  <c:v>6</c:v>
                </c:pt>
                <c:pt idx="19">
                  <c:v>7</c:v>
                </c:pt>
                <c:pt idx="20">
                  <c:v>3</c:v>
                </c:pt>
                <c:pt idx="21">
                  <c:v>8</c:v>
                </c:pt>
                <c:pt idx="22">
                  <c:v>6</c:v>
                </c:pt>
                <c:pt idx="23">
                  <c:v>8</c:v>
                </c:pt>
                <c:pt idx="24">
                  <c:v>3</c:v>
                </c:pt>
                <c:pt idx="25">
                  <c:v>3</c:v>
                </c:pt>
                <c:pt idx="26">
                  <c:v>3</c:v>
                </c:pt>
                <c:pt idx="27">
                  <c:v>5</c:v>
                </c:pt>
                <c:pt idx="28">
                  <c:v>9</c:v>
                </c:pt>
                <c:pt idx="29">
                  <c:v>3</c:v>
                </c:pt>
                <c:pt idx="30">
                  <c:v>2</c:v>
                </c:pt>
                <c:pt idx="31">
                  <c:v>4</c:v>
                </c:pt>
                <c:pt idx="32">
                  <c:v>3</c:v>
                </c:pt>
              </c:numCache>
            </c:numRef>
          </c:yVal>
          <c:smooth val="0"/>
          <c:extLst>
            <c:ext xmlns:c16="http://schemas.microsoft.com/office/drawing/2014/chart" uri="{C3380CC4-5D6E-409C-BE32-E72D297353CC}">
              <c16:uniqueId val="{00000001-2D1B-4A4A-9261-DF9706692DE4}"/>
            </c:ext>
          </c:extLst>
        </c:ser>
        <c:dLbls>
          <c:showLegendKey val="0"/>
          <c:showVal val="0"/>
          <c:showCatName val="0"/>
          <c:showSerName val="0"/>
          <c:showPercent val="0"/>
          <c:showBubbleSize val="0"/>
        </c:dLbls>
        <c:axId val="83350272"/>
        <c:axId val="83352576"/>
      </c:scatterChart>
      <c:valAx>
        <c:axId val="83350272"/>
        <c:scaling>
          <c:orientation val="minMax"/>
          <c:max val="201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352576"/>
        <c:crosses val="autoZero"/>
        <c:crossBetween val="midCat"/>
      </c:valAx>
      <c:valAx>
        <c:axId val="83352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M&amp;A</a:t>
                </a:r>
                <a:r>
                  <a:rPr lang="en-US" baseline="0"/>
                  <a:t> Events</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35027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71269093375585"/>
          <c:y val="7.5539833702765652E-2"/>
          <c:w val="0.67814908147601916"/>
          <c:h val="0.78237684906435856"/>
        </c:manualLayout>
      </c:layout>
      <c:lineChart>
        <c:grouping val="standard"/>
        <c:varyColors val="0"/>
        <c:ser>
          <c:idx val="0"/>
          <c:order val="0"/>
          <c:tx>
            <c:strRef>
              <c:f>'2 way interactions'!$B$33</c:f>
              <c:strCache>
                <c:ptCount val="1"/>
                <c:pt idx="0">
                  <c:v>Not Major Investor</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interactions'!$C$32:$D$32</c:f>
              <c:strCache>
                <c:ptCount val="2"/>
                <c:pt idx="0">
                  <c:v>Low RD</c:v>
                </c:pt>
                <c:pt idx="1">
                  <c:v>High RD</c:v>
                </c:pt>
              </c:strCache>
            </c:strRef>
          </c:cat>
          <c:val>
            <c:numRef>
              <c:f>'2 way interactions'!$C$33:$D$33</c:f>
              <c:numCache>
                <c:formatCode>General</c:formatCode>
                <c:ptCount val="2"/>
                <c:pt idx="0">
                  <c:v>4.3853099999999999E-2</c:v>
                </c:pt>
                <c:pt idx="1">
                  <c:v>5.7548099999999998E-2</c:v>
                </c:pt>
              </c:numCache>
            </c:numRef>
          </c:val>
          <c:smooth val="0"/>
          <c:extLst>
            <c:ext xmlns:c16="http://schemas.microsoft.com/office/drawing/2014/chart" uri="{C3380CC4-5D6E-409C-BE32-E72D297353CC}">
              <c16:uniqueId val="{00000000-FD4F-4431-B528-607CAF0DBB20}"/>
            </c:ext>
          </c:extLst>
        </c:ser>
        <c:ser>
          <c:idx val="1"/>
          <c:order val="1"/>
          <c:tx>
            <c:strRef>
              <c:f>'2 way interactions'!$B$34</c:f>
              <c:strCache>
                <c:ptCount val="1"/>
                <c:pt idx="0">
                  <c:v>Major Investor</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interactions'!$C$32:$D$32</c:f>
              <c:strCache>
                <c:ptCount val="2"/>
                <c:pt idx="0">
                  <c:v>Low RD</c:v>
                </c:pt>
                <c:pt idx="1">
                  <c:v>High RD</c:v>
                </c:pt>
              </c:strCache>
            </c:strRef>
          </c:cat>
          <c:val>
            <c:numRef>
              <c:f>'2 way interactions'!$C$34:$D$34</c:f>
              <c:numCache>
                <c:formatCode>General</c:formatCode>
                <c:ptCount val="2"/>
                <c:pt idx="0">
                  <c:v>6.5584100000000006E-2</c:v>
                </c:pt>
                <c:pt idx="1">
                  <c:v>5.12291E-2</c:v>
                </c:pt>
              </c:numCache>
            </c:numRef>
          </c:val>
          <c:smooth val="0"/>
          <c:extLst>
            <c:ext xmlns:c16="http://schemas.microsoft.com/office/drawing/2014/chart" uri="{C3380CC4-5D6E-409C-BE32-E72D297353CC}">
              <c16:uniqueId val="{00000001-FD4F-4431-B528-607CAF0DBB20}"/>
            </c:ext>
          </c:extLst>
        </c:ser>
        <c:dLbls>
          <c:showLegendKey val="0"/>
          <c:showVal val="0"/>
          <c:showCatName val="0"/>
          <c:showSerName val="0"/>
          <c:showPercent val="0"/>
          <c:showBubbleSize val="0"/>
        </c:dLbls>
        <c:marker val="1"/>
        <c:smooth val="0"/>
        <c:axId val="83369344"/>
        <c:axId val="83408384"/>
      </c:lineChart>
      <c:catAx>
        <c:axId val="83369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83408384"/>
        <c:crosses val="autoZero"/>
        <c:auto val="1"/>
        <c:lblAlgn val="ctr"/>
        <c:lblOffset val="100"/>
        <c:tickLblSkip val="1"/>
        <c:tickMarkSkip val="1"/>
        <c:noMultiLvlLbl val="0"/>
      </c:catAx>
      <c:valAx>
        <c:axId val="83408384"/>
        <c:scaling>
          <c:orientation val="minMax"/>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US"/>
                  <a:t>Market Reactions</a:t>
                </a:r>
              </a:p>
            </c:rich>
          </c:tx>
          <c:layout>
            <c:manualLayout>
              <c:xMode val="edge"/>
              <c:yMode val="edge"/>
              <c:x val="2.3681377825618945E-2"/>
              <c:y val="0.280576389282274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83369344"/>
        <c:crosses val="autoZero"/>
        <c:crossBetween val="between"/>
      </c:valAx>
      <c:spPr>
        <a:solidFill>
          <a:srgbClr val="FFFFFF"/>
        </a:solidFill>
        <a:ln w="12700">
          <a:solidFill>
            <a:srgbClr val="808080"/>
          </a:solidFill>
          <a:prstDash val="solid"/>
        </a:ln>
      </c:spPr>
    </c:plotArea>
    <c:legend>
      <c:legendPos val="r"/>
      <c:layout>
        <c:manualLayout>
          <c:xMode val="edge"/>
          <c:yMode val="edge"/>
          <c:x val="0.81376804919639167"/>
          <c:y val="0.37631162268842216"/>
          <c:w val="0.17007551935448328"/>
          <c:h val="0.47098481844445711"/>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71269093375585"/>
          <c:y val="7.5539833702765652E-2"/>
          <c:w val="0.67814908147601916"/>
          <c:h val="0.78237684906435856"/>
        </c:manualLayout>
      </c:layout>
      <c:lineChart>
        <c:grouping val="standard"/>
        <c:varyColors val="0"/>
        <c:ser>
          <c:idx val="0"/>
          <c:order val="0"/>
          <c:tx>
            <c:strRef>
              <c:f>'2 way interactions'!$B$33</c:f>
              <c:strCache>
                <c:ptCount val="1"/>
                <c:pt idx="0">
                  <c:v>No Major CVC investor</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interactions'!$C$32:$D$32</c:f>
              <c:strCache>
                <c:ptCount val="2"/>
                <c:pt idx="0">
                  <c:v>Low RD</c:v>
                </c:pt>
                <c:pt idx="1">
                  <c:v>High RD</c:v>
                </c:pt>
              </c:strCache>
            </c:strRef>
          </c:cat>
          <c:val>
            <c:numRef>
              <c:f>'2 way interactions'!$C$33:$D$33</c:f>
              <c:numCache>
                <c:formatCode>General</c:formatCode>
                <c:ptCount val="2"/>
                <c:pt idx="0">
                  <c:v>4.0461799999999999E-2</c:v>
                </c:pt>
                <c:pt idx="1">
                  <c:v>5.2671799999999998E-2</c:v>
                </c:pt>
              </c:numCache>
            </c:numRef>
          </c:val>
          <c:smooth val="0"/>
          <c:extLst>
            <c:ext xmlns:c16="http://schemas.microsoft.com/office/drawing/2014/chart" uri="{C3380CC4-5D6E-409C-BE32-E72D297353CC}">
              <c16:uniqueId val="{00000000-123C-4628-B4E1-BEAEF5A9F7EC}"/>
            </c:ext>
          </c:extLst>
        </c:ser>
        <c:ser>
          <c:idx val="1"/>
          <c:order val="1"/>
          <c:tx>
            <c:strRef>
              <c:f>'2 way interactions'!$B$34</c:f>
              <c:strCache>
                <c:ptCount val="1"/>
                <c:pt idx="0">
                  <c:v>Major CVC investor</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interactions'!$C$32:$D$32</c:f>
              <c:strCache>
                <c:ptCount val="2"/>
                <c:pt idx="0">
                  <c:v>Low RD</c:v>
                </c:pt>
                <c:pt idx="1">
                  <c:v>High RD</c:v>
                </c:pt>
              </c:strCache>
            </c:strRef>
          </c:cat>
          <c:val>
            <c:numRef>
              <c:f>'2 way interactions'!$C$34:$D$34</c:f>
              <c:numCache>
                <c:formatCode>General</c:formatCode>
                <c:ptCount val="2"/>
                <c:pt idx="0">
                  <c:v>6.4949800000000002E-2</c:v>
                </c:pt>
                <c:pt idx="1">
                  <c:v>5.0759799999999994E-2</c:v>
                </c:pt>
              </c:numCache>
            </c:numRef>
          </c:val>
          <c:smooth val="0"/>
          <c:extLst>
            <c:ext xmlns:c16="http://schemas.microsoft.com/office/drawing/2014/chart" uri="{C3380CC4-5D6E-409C-BE32-E72D297353CC}">
              <c16:uniqueId val="{00000001-123C-4628-B4E1-BEAEF5A9F7EC}"/>
            </c:ext>
          </c:extLst>
        </c:ser>
        <c:dLbls>
          <c:showLegendKey val="0"/>
          <c:showVal val="0"/>
          <c:showCatName val="0"/>
          <c:showSerName val="0"/>
          <c:showPercent val="0"/>
          <c:showBubbleSize val="0"/>
        </c:dLbls>
        <c:marker val="1"/>
        <c:smooth val="0"/>
        <c:axId val="83842944"/>
        <c:axId val="83845120"/>
      </c:lineChart>
      <c:catAx>
        <c:axId val="838429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83845120"/>
        <c:crosses val="autoZero"/>
        <c:auto val="1"/>
        <c:lblAlgn val="ctr"/>
        <c:lblOffset val="100"/>
        <c:tickLblSkip val="1"/>
        <c:tickMarkSkip val="1"/>
        <c:noMultiLvlLbl val="0"/>
      </c:catAx>
      <c:valAx>
        <c:axId val="83845120"/>
        <c:scaling>
          <c:orientation val="minMax"/>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US"/>
                  <a:t>Market Reactions</a:t>
                </a:r>
              </a:p>
            </c:rich>
          </c:tx>
          <c:layout>
            <c:manualLayout>
              <c:xMode val="edge"/>
              <c:yMode val="edge"/>
              <c:x val="2.3681377825618945E-2"/>
              <c:y val="0.2805763892822749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83842944"/>
        <c:crosses val="autoZero"/>
        <c:crossBetween val="between"/>
      </c:valAx>
      <c:spPr>
        <a:solidFill>
          <a:srgbClr val="FFFFFF"/>
        </a:solidFill>
        <a:ln w="12700">
          <a:solidFill>
            <a:srgbClr val="808080"/>
          </a:solidFill>
          <a:prstDash val="solid"/>
        </a:ln>
      </c:spPr>
    </c:plotArea>
    <c:legend>
      <c:legendPos val="r"/>
      <c:layout>
        <c:manualLayout>
          <c:xMode val="edge"/>
          <c:yMode val="edge"/>
          <c:x val="0.81808463931244324"/>
          <c:y val="0.40108055288053018"/>
          <c:w val="0.17007551935448328"/>
          <c:h val="0.47098481844445711"/>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71269093375585"/>
          <c:y val="7.5539833702765652E-2"/>
          <c:w val="0.67814908147601916"/>
          <c:h val="0.78237684906435856"/>
        </c:manualLayout>
      </c:layout>
      <c:lineChart>
        <c:grouping val="standard"/>
        <c:varyColors val="0"/>
        <c:ser>
          <c:idx val="0"/>
          <c:order val="0"/>
          <c:tx>
            <c:strRef>
              <c:f>'2 way interactions'!$B$33</c:f>
              <c:strCache>
                <c:ptCount val="1"/>
                <c:pt idx="0">
                  <c:v>not all small</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interactions'!$C$32:$D$32</c:f>
              <c:strCache>
                <c:ptCount val="2"/>
                <c:pt idx="0">
                  <c:v>Low RD</c:v>
                </c:pt>
                <c:pt idx="1">
                  <c:v>High RD</c:v>
                </c:pt>
              </c:strCache>
            </c:strRef>
          </c:cat>
          <c:val>
            <c:numRef>
              <c:f>'2 way interactions'!$C$33:$D$33</c:f>
              <c:numCache>
                <c:formatCode>General</c:formatCode>
                <c:ptCount val="2"/>
                <c:pt idx="0">
                  <c:v>6.1049300000000001E-2</c:v>
                </c:pt>
                <c:pt idx="1">
                  <c:v>5.2634299999999995E-2</c:v>
                </c:pt>
              </c:numCache>
            </c:numRef>
          </c:val>
          <c:smooth val="0"/>
          <c:extLst>
            <c:ext xmlns:c16="http://schemas.microsoft.com/office/drawing/2014/chart" uri="{C3380CC4-5D6E-409C-BE32-E72D297353CC}">
              <c16:uniqueId val="{00000000-D010-4332-8C2A-08A7F3D0B89F}"/>
            </c:ext>
          </c:extLst>
        </c:ser>
        <c:ser>
          <c:idx val="1"/>
          <c:order val="1"/>
          <c:tx>
            <c:strRef>
              <c:f>'2 way interactions'!$B$34</c:f>
              <c:strCache>
                <c:ptCount val="1"/>
                <c:pt idx="0">
                  <c:v>all small</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interactions'!$C$32:$D$32</c:f>
              <c:strCache>
                <c:ptCount val="2"/>
                <c:pt idx="0">
                  <c:v>Low RD</c:v>
                </c:pt>
                <c:pt idx="1">
                  <c:v>High RD</c:v>
                </c:pt>
              </c:strCache>
            </c:strRef>
          </c:cat>
          <c:val>
            <c:numRef>
              <c:f>'2 way interactions'!$C$34:$D$34</c:f>
              <c:numCache>
                <c:formatCode>General</c:formatCode>
                <c:ptCount val="2"/>
                <c:pt idx="0">
                  <c:v>1.6548100000000003E-2</c:v>
                </c:pt>
                <c:pt idx="1">
                  <c:v>8.7993099999999991E-2</c:v>
                </c:pt>
              </c:numCache>
            </c:numRef>
          </c:val>
          <c:smooth val="0"/>
          <c:extLst>
            <c:ext xmlns:c16="http://schemas.microsoft.com/office/drawing/2014/chart" uri="{C3380CC4-5D6E-409C-BE32-E72D297353CC}">
              <c16:uniqueId val="{00000001-D010-4332-8C2A-08A7F3D0B89F}"/>
            </c:ext>
          </c:extLst>
        </c:ser>
        <c:dLbls>
          <c:showLegendKey val="0"/>
          <c:showVal val="0"/>
          <c:showCatName val="0"/>
          <c:showSerName val="0"/>
          <c:showPercent val="0"/>
          <c:showBubbleSize val="0"/>
        </c:dLbls>
        <c:marker val="1"/>
        <c:smooth val="0"/>
        <c:axId val="83864960"/>
        <c:axId val="83916288"/>
      </c:lineChart>
      <c:catAx>
        <c:axId val="838649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83916288"/>
        <c:crosses val="autoZero"/>
        <c:auto val="1"/>
        <c:lblAlgn val="ctr"/>
        <c:lblOffset val="100"/>
        <c:tickLblSkip val="1"/>
        <c:tickMarkSkip val="1"/>
        <c:noMultiLvlLbl val="0"/>
      </c:catAx>
      <c:valAx>
        <c:axId val="83916288"/>
        <c:scaling>
          <c:orientation val="minMax"/>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US"/>
                  <a:t>Market Reactions</a:t>
                </a:r>
              </a:p>
            </c:rich>
          </c:tx>
          <c:layout>
            <c:manualLayout>
              <c:xMode val="edge"/>
              <c:yMode val="edge"/>
              <c:x val="1.3121757338516584E-2"/>
              <c:y val="0.3018071911365062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83864960"/>
        <c:crosses val="autoZero"/>
        <c:crossBetween val="between"/>
      </c:valAx>
      <c:spPr>
        <a:solidFill>
          <a:srgbClr val="FFFFFF"/>
        </a:solidFill>
        <a:ln w="12700">
          <a:solidFill>
            <a:srgbClr val="808080"/>
          </a:solidFill>
          <a:prstDash val="solid"/>
        </a:ln>
      </c:spPr>
    </c:plotArea>
    <c:legend>
      <c:legendPos val="r"/>
      <c:layout>
        <c:manualLayout>
          <c:xMode val="edge"/>
          <c:yMode val="edge"/>
          <c:x val="0.81808463931244324"/>
          <c:y val="0.40108055288053018"/>
          <c:w val="0.17007551935448328"/>
          <c:h val="0.47098481844445711"/>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71269093375585"/>
          <c:y val="7.5539833702765652E-2"/>
          <c:w val="0.67814908147601916"/>
          <c:h val="0.78237684906435856"/>
        </c:manualLayout>
      </c:layout>
      <c:lineChart>
        <c:grouping val="standard"/>
        <c:varyColors val="0"/>
        <c:ser>
          <c:idx val="0"/>
          <c:order val="0"/>
          <c:tx>
            <c:strRef>
              <c:f>'2 way interactions'!$B$33</c:f>
              <c:strCache>
                <c:ptCount val="1"/>
                <c:pt idx="0">
                  <c:v>not all small</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interactions'!$C$32:$D$32</c:f>
              <c:strCache>
                <c:ptCount val="2"/>
                <c:pt idx="0">
                  <c:v>Low RD</c:v>
                </c:pt>
                <c:pt idx="1">
                  <c:v>High RD</c:v>
                </c:pt>
              </c:strCache>
            </c:strRef>
          </c:cat>
          <c:val>
            <c:numRef>
              <c:f>'2 way interactions'!$C$33:$D$33</c:f>
              <c:numCache>
                <c:formatCode>General</c:formatCode>
                <c:ptCount val="2"/>
                <c:pt idx="0">
                  <c:v>8.1507000000000003E-3</c:v>
                </c:pt>
                <c:pt idx="1">
                  <c:v>1.6565700000000003E-2</c:v>
                </c:pt>
              </c:numCache>
            </c:numRef>
          </c:val>
          <c:smooth val="0"/>
          <c:extLst>
            <c:ext xmlns:c16="http://schemas.microsoft.com/office/drawing/2014/chart" uri="{C3380CC4-5D6E-409C-BE32-E72D297353CC}">
              <c16:uniqueId val="{00000000-48AB-4E9F-8E3B-5AF7049E3227}"/>
            </c:ext>
          </c:extLst>
        </c:ser>
        <c:ser>
          <c:idx val="1"/>
          <c:order val="1"/>
          <c:tx>
            <c:strRef>
              <c:f>'2 way interactions'!$B$34</c:f>
              <c:strCache>
                <c:ptCount val="1"/>
                <c:pt idx="0">
                  <c:v>all small</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interactions'!$C$32:$D$32</c:f>
              <c:strCache>
                <c:ptCount val="2"/>
                <c:pt idx="0">
                  <c:v>Low RD</c:v>
                </c:pt>
                <c:pt idx="1">
                  <c:v>High RD</c:v>
                </c:pt>
              </c:strCache>
            </c:strRef>
          </c:cat>
          <c:val>
            <c:numRef>
              <c:f>'2 way interactions'!$C$34:$D$34</c:f>
              <c:numCache>
                <c:formatCode>General</c:formatCode>
                <c:ptCount val="2"/>
                <c:pt idx="0">
                  <c:v>1.3690000000000004E-3</c:v>
                </c:pt>
                <c:pt idx="1">
                  <c:v>2.9419000000000001E-2</c:v>
                </c:pt>
              </c:numCache>
            </c:numRef>
          </c:val>
          <c:smooth val="0"/>
          <c:extLst>
            <c:ext xmlns:c16="http://schemas.microsoft.com/office/drawing/2014/chart" uri="{C3380CC4-5D6E-409C-BE32-E72D297353CC}">
              <c16:uniqueId val="{00000001-48AB-4E9F-8E3B-5AF7049E3227}"/>
            </c:ext>
          </c:extLst>
        </c:ser>
        <c:dLbls>
          <c:showLegendKey val="0"/>
          <c:showVal val="0"/>
          <c:showCatName val="0"/>
          <c:showSerName val="0"/>
          <c:showPercent val="0"/>
          <c:showBubbleSize val="0"/>
        </c:dLbls>
        <c:marker val="1"/>
        <c:smooth val="0"/>
        <c:axId val="87824256"/>
        <c:axId val="87846912"/>
      </c:lineChart>
      <c:catAx>
        <c:axId val="87824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87846912"/>
        <c:crosses val="autoZero"/>
        <c:auto val="1"/>
        <c:lblAlgn val="ctr"/>
        <c:lblOffset val="100"/>
        <c:tickLblSkip val="1"/>
        <c:tickMarkSkip val="1"/>
        <c:noMultiLvlLbl val="0"/>
      </c:catAx>
      <c:valAx>
        <c:axId val="87846912"/>
        <c:scaling>
          <c:orientation val="minMax"/>
        </c:scaling>
        <c:delete val="0"/>
        <c:axPos val="l"/>
        <c:title>
          <c:tx>
            <c:rich>
              <a:bodyPr/>
              <a:lstStyle/>
              <a:p>
                <a:pPr>
                  <a:defRPr sz="1200" b="1" i="0" u="none" strike="noStrike" baseline="0">
                    <a:solidFill>
                      <a:srgbClr val="000000"/>
                    </a:solidFill>
                    <a:latin typeface="Times New Roman"/>
                    <a:ea typeface="Times New Roman"/>
                    <a:cs typeface="Times New Roman"/>
                  </a:defRPr>
                </a:pPr>
                <a:r>
                  <a:rPr lang="en-US"/>
                  <a:t>Market Reactions</a:t>
                </a:r>
              </a:p>
            </c:rich>
          </c:tx>
          <c:layout>
            <c:manualLayout>
              <c:xMode val="edge"/>
              <c:yMode val="edge"/>
              <c:x val="1.0730689254609772E-2"/>
              <c:y val="0.3057634117391376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en-US"/>
          </a:p>
        </c:txPr>
        <c:crossAx val="87824256"/>
        <c:crosses val="autoZero"/>
        <c:crossBetween val="between"/>
      </c:valAx>
      <c:spPr>
        <a:solidFill>
          <a:srgbClr val="FFFFFF"/>
        </a:solidFill>
        <a:ln w="12700">
          <a:solidFill>
            <a:srgbClr val="808080"/>
          </a:solidFill>
          <a:prstDash val="solid"/>
        </a:ln>
      </c:spPr>
    </c:plotArea>
    <c:legend>
      <c:legendPos val="r"/>
      <c:layout>
        <c:manualLayout>
          <c:xMode val="edge"/>
          <c:yMode val="edge"/>
          <c:x val="0.81808463931244324"/>
          <c:y val="0.40108055288053018"/>
          <c:w val="0.17007551935448328"/>
          <c:h val="0.47098481844445711"/>
        </c:manualLayout>
      </c:layout>
      <c:overlay val="0"/>
      <c:spPr>
        <a:solidFill>
          <a:srgbClr val="FFFFFF"/>
        </a:solidFill>
        <a:ln w="3175">
          <a:solidFill>
            <a:srgbClr val="000000"/>
          </a:solidFill>
          <a:prstDash val="solid"/>
        </a:ln>
      </c:spPr>
      <c:txPr>
        <a:bodyPr/>
        <a:lstStyle/>
        <a:p>
          <a:pPr>
            <a:defRPr sz="110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FC8FE-34F5-477F-8CCC-B14CA621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9212</Words>
  <Characters>52512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Yi_Yang</dc:creator>
  <cp:lastModifiedBy>Yang, Yi</cp:lastModifiedBy>
  <cp:revision>45</cp:revision>
  <dcterms:created xsi:type="dcterms:W3CDTF">2017-01-10T18:33:00Z</dcterms:created>
  <dcterms:modified xsi:type="dcterms:W3CDTF">2018-01-16T15:50:00Z</dcterms:modified>
</cp:coreProperties>
</file>