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5E551" w14:textId="20C4B112" w:rsidR="00F0497A" w:rsidRDefault="00F0497A" w:rsidP="009377A2">
      <w:pPr>
        <w:jc w:val="center"/>
        <w:rPr>
          <w:b/>
          <w:color w:val="auto"/>
          <w:sz w:val="40"/>
          <w:szCs w:val="36"/>
        </w:rPr>
      </w:pPr>
      <w:r>
        <w:rPr>
          <w:b/>
          <w:color w:val="auto"/>
          <w:sz w:val="40"/>
          <w:szCs w:val="36"/>
        </w:rPr>
        <w:t>Eastern Academy of Management</w:t>
      </w:r>
    </w:p>
    <w:p w14:paraId="34C9B650" w14:textId="6DF6EEC2" w:rsidR="00F0497A" w:rsidRDefault="00F0497A" w:rsidP="009377A2">
      <w:pPr>
        <w:jc w:val="center"/>
        <w:rPr>
          <w:b/>
          <w:color w:val="auto"/>
          <w:sz w:val="40"/>
          <w:szCs w:val="36"/>
        </w:rPr>
      </w:pPr>
      <w:r>
        <w:rPr>
          <w:b/>
          <w:color w:val="auto"/>
          <w:sz w:val="40"/>
          <w:szCs w:val="36"/>
        </w:rPr>
        <w:t>2019 Proceedings</w:t>
      </w:r>
    </w:p>
    <w:p w14:paraId="35326BE8" w14:textId="77777777" w:rsidR="004D0DD5" w:rsidRDefault="004D0DD5" w:rsidP="009377A2">
      <w:pPr>
        <w:jc w:val="center"/>
        <w:rPr>
          <w:b/>
          <w:color w:val="auto"/>
          <w:sz w:val="40"/>
          <w:szCs w:val="36"/>
        </w:rPr>
      </w:pPr>
    </w:p>
    <w:p w14:paraId="59BDED7C" w14:textId="77777777" w:rsidR="00F0497A" w:rsidRDefault="00F0497A" w:rsidP="009377A2">
      <w:pPr>
        <w:jc w:val="center"/>
        <w:rPr>
          <w:b/>
          <w:color w:val="auto"/>
          <w:sz w:val="40"/>
          <w:szCs w:val="36"/>
        </w:rPr>
      </w:pPr>
    </w:p>
    <w:p w14:paraId="6D0C434E" w14:textId="664C91C6" w:rsidR="00800857" w:rsidRDefault="00F0497A" w:rsidP="009377A2">
      <w:pPr>
        <w:jc w:val="center"/>
        <w:rPr>
          <w:b/>
          <w:color w:val="auto"/>
          <w:sz w:val="40"/>
          <w:szCs w:val="36"/>
        </w:rPr>
      </w:pPr>
      <w:r w:rsidRPr="00F0497A">
        <w:rPr>
          <w:b/>
          <w:color w:val="auto"/>
          <w:sz w:val="40"/>
          <w:szCs w:val="36"/>
        </w:rPr>
        <w:t>Innovating the Internship Experience for Business Education Programs</w:t>
      </w:r>
    </w:p>
    <w:p w14:paraId="22815011" w14:textId="77777777" w:rsidR="00F0497A" w:rsidRPr="00C50FB6" w:rsidRDefault="00F0497A" w:rsidP="009377A2">
      <w:pPr>
        <w:jc w:val="center"/>
        <w:rPr>
          <w:color w:val="auto"/>
          <w:sz w:val="40"/>
          <w:szCs w:val="36"/>
        </w:rPr>
      </w:pPr>
    </w:p>
    <w:p w14:paraId="0A7EEC1E" w14:textId="77777777" w:rsidR="00800857" w:rsidRPr="00C50FB6" w:rsidRDefault="00800857" w:rsidP="009377A2">
      <w:pPr>
        <w:jc w:val="center"/>
        <w:rPr>
          <w:rFonts w:ascii="Arial" w:eastAsia="Arial" w:hAnsi="Arial" w:cs="Arial"/>
          <w:color w:val="auto"/>
          <w:sz w:val="36"/>
          <w:szCs w:val="36"/>
        </w:rPr>
        <w:sectPr w:rsidR="00800857" w:rsidRPr="00C50FB6">
          <w:pgSz w:w="12240" w:h="15840"/>
          <w:pgMar w:top="1008" w:right="1008" w:bottom="1008" w:left="1008" w:header="0" w:footer="720" w:gutter="0"/>
          <w:pgNumType w:start="1"/>
          <w:cols w:space="720"/>
        </w:sectPr>
      </w:pPr>
    </w:p>
    <w:tbl>
      <w:tblPr>
        <w:tblW w:w="10165" w:type="dxa"/>
        <w:tblLayout w:type="fixed"/>
        <w:tblLook w:val="04A0" w:firstRow="1" w:lastRow="0" w:firstColumn="1" w:lastColumn="0" w:noHBand="0" w:noVBand="1"/>
      </w:tblPr>
      <w:tblGrid>
        <w:gridCol w:w="3595"/>
        <w:gridCol w:w="3420"/>
        <w:gridCol w:w="3150"/>
      </w:tblGrid>
      <w:tr w:rsidR="00F0497A" w:rsidRPr="00C50FB6" w14:paraId="274527F8" w14:textId="3994DE7A" w:rsidTr="004D0DD5">
        <w:tc>
          <w:tcPr>
            <w:tcW w:w="3595" w:type="dxa"/>
          </w:tcPr>
          <w:p w14:paraId="1D74B2DC" w14:textId="77777777" w:rsidR="00F0497A" w:rsidRDefault="00F0497A" w:rsidP="00F0497A">
            <w:pPr>
              <w:jc w:val="center"/>
              <w:rPr>
                <w:color w:val="auto"/>
                <w:sz w:val="20"/>
                <w:szCs w:val="20"/>
              </w:rPr>
            </w:pPr>
            <w:r>
              <w:rPr>
                <w:b/>
                <w:i/>
                <w:color w:val="auto"/>
                <w:sz w:val="22"/>
                <w:szCs w:val="20"/>
              </w:rPr>
              <w:t>Noel Criscione-Naylor</w:t>
            </w:r>
          </w:p>
          <w:p w14:paraId="20FE6C1A" w14:textId="77777777" w:rsidR="00F0497A" w:rsidRDefault="00F0497A" w:rsidP="00F0497A">
            <w:pPr>
              <w:jc w:val="center"/>
              <w:rPr>
                <w:color w:val="auto"/>
                <w:sz w:val="20"/>
                <w:szCs w:val="20"/>
              </w:rPr>
            </w:pPr>
            <w:r>
              <w:rPr>
                <w:color w:val="auto"/>
                <w:sz w:val="20"/>
                <w:szCs w:val="20"/>
              </w:rPr>
              <w:t xml:space="preserve">Hospitality, Tourism, and Event </w:t>
            </w:r>
            <w:r w:rsidRPr="00392D56">
              <w:rPr>
                <w:color w:val="auto"/>
                <w:sz w:val="20"/>
                <w:szCs w:val="20"/>
              </w:rPr>
              <w:t>Management</w:t>
            </w:r>
            <w:r>
              <w:rPr>
                <w:color w:val="auto"/>
                <w:sz w:val="20"/>
                <w:szCs w:val="20"/>
              </w:rPr>
              <w:t xml:space="preserve"> Studies</w:t>
            </w:r>
          </w:p>
          <w:p w14:paraId="6DA40366" w14:textId="5B85F48A" w:rsidR="00F0497A" w:rsidRPr="00C50FB6" w:rsidRDefault="00F0497A" w:rsidP="00F0497A">
            <w:pPr>
              <w:jc w:val="center"/>
              <w:rPr>
                <w:rFonts w:ascii="Arial" w:eastAsia="Arial" w:hAnsi="Arial" w:cs="Arial"/>
                <w:color w:val="auto"/>
                <w:sz w:val="18"/>
                <w:szCs w:val="18"/>
              </w:rPr>
            </w:pPr>
            <w:r>
              <w:rPr>
                <w:color w:val="auto"/>
                <w:sz w:val="20"/>
                <w:szCs w:val="20"/>
              </w:rPr>
              <w:t>Stockton University</w:t>
            </w:r>
            <w:r w:rsidRPr="00392D56">
              <w:rPr>
                <w:color w:val="auto"/>
                <w:sz w:val="20"/>
                <w:szCs w:val="20"/>
              </w:rPr>
              <w:br/>
              <w:t>(609) 992-4714</w:t>
            </w:r>
            <w:r w:rsidRPr="00392D56">
              <w:rPr>
                <w:color w:val="auto"/>
                <w:sz w:val="20"/>
                <w:szCs w:val="20"/>
              </w:rPr>
              <w:br/>
            </w:r>
            <w:r w:rsidRPr="00392D56">
              <w:rPr>
                <w:i/>
                <w:color w:val="auto"/>
                <w:sz w:val="20"/>
                <w:szCs w:val="20"/>
              </w:rPr>
              <w:t>noel.criscione@stockton.edu</w:t>
            </w:r>
          </w:p>
        </w:tc>
        <w:tc>
          <w:tcPr>
            <w:tcW w:w="3420" w:type="dxa"/>
          </w:tcPr>
          <w:p w14:paraId="42473D4D" w14:textId="7B3F89C0" w:rsidR="00F0497A" w:rsidRDefault="00F0497A" w:rsidP="00FF27F3">
            <w:pPr>
              <w:jc w:val="center"/>
              <w:rPr>
                <w:color w:val="auto"/>
                <w:sz w:val="20"/>
                <w:szCs w:val="20"/>
              </w:rPr>
            </w:pPr>
            <w:r>
              <w:rPr>
                <w:b/>
                <w:i/>
                <w:color w:val="auto"/>
                <w:sz w:val="22"/>
                <w:szCs w:val="20"/>
              </w:rPr>
              <w:t>Tara Marsh</w:t>
            </w:r>
          </w:p>
          <w:p w14:paraId="2A43F954" w14:textId="4B6F40E7" w:rsidR="00F0497A" w:rsidRDefault="00F0497A" w:rsidP="00FF27F3">
            <w:pPr>
              <w:jc w:val="center"/>
              <w:rPr>
                <w:color w:val="auto"/>
                <w:sz w:val="20"/>
                <w:szCs w:val="20"/>
              </w:rPr>
            </w:pPr>
            <w:r>
              <w:rPr>
                <w:color w:val="auto"/>
                <w:sz w:val="20"/>
                <w:szCs w:val="20"/>
              </w:rPr>
              <w:t>HTMS Internship Coordinator</w:t>
            </w:r>
          </w:p>
          <w:p w14:paraId="482359D0" w14:textId="2123AE9B" w:rsidR="00F0497A" w:rsidRPr="00392D56" w:rsidRDefault="00F0497A" w:rsidP="00FF27F3">
            <w:pPr>
              <w:jc w:val="center"/>
              <w:rPr>
                <w:color w:val="auto"/>
                <w:sz w:val="20"/>
                <w:szCs w:val="20"/>
              </w:rPr>
            </w:pPr>
            <w:r>
              <w:rPr>
                <w:color w:val="auto"/>
                <w:sz w:val="20"/>
                <w:szCs w:val="20"/>
              </w:rPr>
              <w:t>Stockton University</w:t>
            </w:r>
            <w:r w:rsidRPr="00392D56">
              <w:rPr>
                <w:color w:val="auto"/>
                <w:sz w:val="20"/>
                <w:szCs w:val="20"/>
              </w:rPr>
              <w:br/>
              <w:t>(609) 992-4714</w:t>
            </w:r>
            <w:r w:rsidRPr="00392D56">
              <w:rPr>
                <w:color w:val="auto"/>
                <w:sz w:val="20"/>
                <w:szCs w:val="20"/>
              </w:rPr>
              <w:br/>
            </w:r>
            <w:r>
              <w:rPr>
                <w:i/>
                <w:color w:val="auto"/>
                <w:sz w:val="20"/>
                <w:szCs w:val="20"/>
              </w:rPr>
              <w:t>tara.marsh</w:t>
            </w:r>
            <w:r w:rsidRPr="00392D56">
              <w:rPr>
                <w:i/>
                <w:color w:val="auto"/>
                <w:sz w:val="20"/>
                <w:szCs w:val="20"/>
              </w:rPr>
              <w:t>@stockton.edu</w:t>
            </w:r>
          </w:p>
        </w:tc>
        <w:tc>
          <w:tcPr>
            <w:tcW w:w="3150" w:type="dxa"/>
          </w:tcPr>
          <w:p w14:paraId="1DB866AD" w14:textId="7BC30D80" w:rsidR="00F0497A" w:rsidRDefault="00F0497A" w:rsidP="00FF27F3">
            <w:pPr>
              <w:jc w:val="center"/>
              <w:rPr>
                <w:color w:val="auto"/>
                <w:sz w:val="20"/>
                <w:szCs w:val="20"/>
              </w:rPr>
            </w:pPr>
            <w:proofErr w:type="spellStart"/>
            <w:r>
              <w:rPr>
                <w:b/>
                <w:i/>
                <w:color w:val="auto"/>
                <w:sz w:val="22"/>
                <w:szCs w:val="20"/>
              </w:rPr>
              <w:t>Danya</w:t>
            </w:r>
            <w:proofErr w:type="spellEnd"/>
            <w:r>
              <w:rPr>
                <w:b/>
                <w:i/>
                <w:color w:val="auto"/>
                <w:sz w:val="22"/>
                <w:szCs w:val="20"/>
              </w:rPr>
              <w:t xml:space="preserve"> </w:t>
            </w:r>
            <w:proofErr w:type="spellStart"/>
            <w:r>
              <w:rPr>
                <w:b/>
                <w:i/>
                <w:color w:val="auto"/>
                <w:sz w:val="22"/>
                <w:szCs w:val="20"/>
              </w:rPr>
              <w:t>DeFiore</w:t>
            </w:r>
            <w:proofErr w:type="spellEnd"/>
          </w:p>
          <w:p w14:paraId="46FA57B2" w14:textId="4F06DB7F" w:rsidR="00F0497A" w:rsidRPr="00392D56" w:rsidRDefault="00F0497A" w:rsidP="00FF27F3">
            <w:pPr>
              <w:jc w:val="center"/>
              <w:rPr>
                <w:color w:val="auto"/>
                <w:sz w:val="20"/>
                <w:szCs w:val="20"/>
              </w:rPr>
            </w:pPr>
            <w:r w:rsidRPr="00F0497A">
              <w:rPr>
                <w:color w:val="auto"/>
                <w:sz w:val="20"/>
                <w:szCs w:val="20"/>
              </w:rPr>
              <w:t>Career Education and Development</w:t>
            </w:r>
            <w:r w:rsidRPr="00F0497A">
              <w:rPr>
                <w:color w:val="auto"/>
                <w:sz w:val="20"/>
                <w:szCs w:val="20"/>
              </w:rPr>
              <w:t xml:space="preserve"> </w:t>
            </w:r>
            <w:r>
              <w:rPr>
                <w:color w:val="auto"/>
                <w:sz w:val="20"/>
                <w:szCs w:val="20"/>
              </w:rPr>
              <w:t>Stockton University</w:t>
            </w:r>
          </w:p>
          <w:p w14:paraId="0F3960D9" w14:textId="24250F46" w:rsidR="00F0497A" w:rsidRPr="00FF27F3" w:rsidRDefault="00F0497A" w:rsidP="00FF27F3">
            <w:pPr>
              <w:jc w:val="center"/>
              <w:rPr>
                <w:i/>
                <w:color w:val="auto"/>
                <w:sz w:val="20"/>
                <w:szCs w:val="20"/>
                <w:highlight w:val="cyan"/>
              </w:rPr>
            </w:pPr>
            <w:r>
              <w:rPr>
                <w:color w:val="auto"/>
                <w:sz w:val="20"/>
                <w:szCs w:val="20"/>
              </w:rPr>
              <w:t>(</w:t>
            </w:r>
            <w:r w:rsidRPr="00392D56">
              <w:rPr>
                <w:color w:val="auto"/>
                <w:sz w:val="20"/>
                <w:szCs w:val="20"/>
              </w:rPr>
              <w:t>609</w:t>
            </w:r>
            <w:r>
              <w:rPr>
                <w:color w:val="auto"/>
                <w:sz w:val="20"/>
                <w:szCs w:val="20"/>
              </w:rPr>
              <w:t xml:space="preserve">) </w:t>
            </w:r>
            <w:r w:rsidRPr="00392D56">
              <w:rPr>
                <w:color w:val="auto"/>
                <w:sz w:val="20"/>
                <w:szCs w:val="20"/>
              </w:rPr>
              <w:t>626</w:t>
            </w:r>
            <w:r>
              <w:rPr>
                <w:color w:val="auto"/>
                <w:sz w:val="20"/>
                <w:szCs w:val="20"/>
              </w:rPr>
              <w:t>-</w:t>
            </w:r>
            <w:r w:rsidRPr="00392D56">
              <w:rPr>
                <w:color w:val="auto"/>
                <w:sz w:val="20"/>
                <w:szCs w:val="20"/>
              </w:rPr>
              <w:t>3528</w:t>
            </w:r>
            <w:r w:rsidRPr="00392D56">
              <w:rPr>
                <w:color w:val="auto"/>
                <w:sz w:val="20"/>
                <w:szCs w:val="20"/>
                <w:highlight w:val="cyan"/>
              </w:rPr>
              <w:br/>
            </w:r>
            <w:r>
              <w:rPr>
                <w:i/>
                <w:color w:val="auto"/>
                <w:sz w:val="20"/>
                <w:szCs w:val="20"/>
              </w:rPr>
              <w:t>dayna.defiore</w:t>
            </w:r>
            <w:r w:rsidRPr="00FF27F3">
              <w:rPr>
                <w:i/>
                <w:color w:val="auto"/>
                <w:sz w:val="20"/>
                <w:szCs w:val="20"/>
              </w:rPr>
              <w:t>@stockton.edu</w:t>
            </w:r>
          </w:p>
        </w:tc>
      </w:tr>
    </w:tbl>
    <w:p w14:paraId="1208FF97" w14:textId="77777777" w:rsidR="00FF27F3" w:rsidRDefault="00FF27F3" w:rsidP="00FF27F3">
      <w:pPr>
        <w:rPr>
          <w:b/>
          <w:i/>
          <w:color w:val="auto"/>
          <w:sz w:val="22"/>
          <w:szCs w:val="20"/>
        </w:rPr>
        <w:sectPr w:rsidR="00FF27F3" w:rsidSect="004B3A13">
          <w:type w:val="continuous"/>
          <w:pgSz w:w="12240" w:h="15840"/>
          <w:pgMar w:top="1008" w:right="1008" w:bottom="1008" w:left="1008" w:header="0" w:footer="720" w:gutter="0"/>
          <w:cols w:space="720"/>
        </w:sectPr>
      </w:pPr>
    </w:p>
    <w:p w14:paraId="689C68D3" w14:textId="77777777" w:rsidR="00FF27F3" w:rsidRPr="00C50FB6" w:rsidRDefault="00FF27F3" w:rsidP="00FF27F3">
      <w:pPr>
        <w:rPr>
          <w:b/>
          <w:color w:val="auto"/>
          <w:sz w:val="20"/>
          <w:szCs w:val="20"/>
        </w:rPr>
      </w:pPr>
    </w:p>
    <w:p w14:paraId="03EEE786" w14:textId="6A627E9E" w:rsidR="009377A2" w:rsidRDefault="009377A2" w:rsidP="009377A2">
      <w:pPr>
        <w:rPr>
          <w:b/>
          <w:i/>
          <w:color w:val="auto"/>
          <w:sz w:val="22"/>
          <w:szCs w:val="22"/>
        </w:rPr>
      </w:pPr>
      <w:r w:rsidRPr="004D0DD5">
        <w:rPr>
          <w:b/>
          <w:i/>
          <w:color w:val="auto"/>
          <w:sz w:val="22"/>
          <w:szCs w:val="22"/>
        </w:rPr>
        <w:t xml:space="preserve">ABSTRACT </w:t>
      </w:r>
    </w:p>
    <w:p w14:paraId="5FA05D58" w14:textId="77777777" w:rsidR="004D0DD5" w:rsidRPr="004D0DD5" w:rsidRDefault="004D0DD5" w:rsidP="009377A2">
      <w:pPr>
        <w:rPr>
          <w:color w:val="auto"/>
          <w:sz w:val="22"/>
          <w:szCs w:val="22"/>
        </w:rPr>
      </w:pPr>
    </w:p>
    <w:p w14:paraId="75C9C7EF" w14:textId="25D4D98D" w:rsidR="00F0497A" w:rsidRPr="004D0DD5" w:rsidRDefault="00F0497A" w:rsidP="009377A2">
      <w:pPr>
        <w:spacing w:after="240"/>
        <w:rPr>
          <w:color w:val="auto"/>
          <w:sz w:val="22"/>
          <w:szCs w:val="22"/>
        </w:rPr>
      </w:pPr>
      <w:r w:rsidRPr="004D0DD5">
        <w:rPr>
          <w:color w:val="auto"/>
          <w:sz w:val="22"/>
          <w:szCs w:val="22"/>
        </w:rPr>
        <w:t xml:space="preserve">Internships are the building blocks of student potential.  They provide the necessary means for students to gain real-life experience and exposure to industry opportunities while learning about themselves and evaluating their areas of interest for the long-term. As such, internships have demonstrated success in students gaining relevant knowledge, skills, and experiences. Furthermore, internships contribute to the development of student professional networks and contribute to improved competitiveness in the job market post-graduation. With </w:t>
      </w:r>
      <w:r w:rsidRPr="004D0DD5">
        <w:rPr>
          <w:color w:val="auto"/>
          <w:sz w:val="22"/>
          <w:szCs w:val="22"/>
        </w:rPr>
        <w:t>several</w:t>
      </w:r>
      <w:r w:rsidRPr="004D0DD5">
        <w:rPr>
          <w:color w:val="auto"/>
          <w:sz w:val="22"/>
          <w:szCs w:val="22"/>
        </w:rPr>
        <w:t xml:space="preserve"> growing markets and increased competition for talent recruitment, institutions must direct efforts and emphasize developing and supporting internship programs and opportunities for students. This panel was intended to begin to build a network of administrators, faculty, and support staff to further identify and promote best practices and collaboration of resources relative to supporting and sustaining internship opportunities for students</w:t>
      </w:r>
      <w:r w:rsidRPr="004D0DD5">
        <w:rPr>
          <w:color w:val="auto"/>
          <w:sz w:val="22"/>
          <w:szCs w:val="22"/>
        </w:rPr>
        <w:t>.</w:t>
      </w:r>
    </w:p>
    <w:p w14:paraId="265C1997" w14:textId="6E9FC333" w:rsidR="009377A2" w:rsidRPr="004D0DD5" w:rsidRDefault="009377A2" w:rsidP="009377A2">
      <w:pPr>
        <w:spacing w:after="240"/>
        <w:rPr>
          <w:color w:val="auto"/>
          <w:sz w:val="22"/>
          <w:szCs w:val="22"/>
        </w:rPr>
      </w:pPr>
      <w:r w:rsidRPr="004D0DD5">
        <w:rPr>
          <w:b/>
          <w:color w:val="auto"/>
          <w:sz w:val="22"/>
          <w:szCs w:val="22"/>
        </w:rPr>
        <w:t xml:space="preserve">Keywords </w:t>
      </w:r>
      <w:r w:rsidRPr="004D0DD5">
        <w:rPr>
          <w:color w:val="auto"/>
          <w:sz w:val="22"/>
          <w:szCs w:val="22"/>
        </w:rPr>
        <w:br/>
      </w:r>
      <w:r w:rsidR="00F0497A" w:rsidRPr="004D0DD5">
        <w:rPr>
          <w:color w:val="auto"/>
          <w:sz w:val="22"/>
          <w:szCs w:val="22"/>
        </w:rPr>
        <w:t>internship, NACE standards, employer recognition, career fair, student development</w:t>
      </w:r>
    </w:p>
    <w:p w14:paraId="364E7851" w14:textId="3E863AB9" w:rsidR="009377A2" w:rsidRPr="004D0DD5" w:rsidRDefault="00FF27F3" w:rsidP="009377A2">
      <w:pPr>
        <w:rPr>
          <w:color w:val="auto"/>
          <w:sz w:val="22"/>
          <w:szCs w:val="22"/>
        </w:rPr>
      </w:pPr>
      <w:r w:rsidRPr="004D0DD5">
        <w:rPr>
          <w:b/>
          <w:color w:val="auto"/>
          <w:sz w:val="22"/>
          <w:szCs w:val="22"/>
        </w:rPr>
        <w:t>1 INTRODUCTION</w:t>
      </w:r>
      <w:r w:rsidR="009377A2" w:rsidRPr="004D0DD5">
        <w:rPr>
          <w:b/>
          <w:color w:val="auto"/>
          <w:sz w:val="22"/>
          <w:szCs w:val="22"/>
        </w:rPr>
        <w:t xml:space="preserve"> </w:t>
      </w:r>
    </w:p>
    <w:p w14:paraId="756D6FDB" w14:textId="5C5A8469" w:rsidR="00F0497A" w:rsidRPr="004D0DD5" w:rsidRDefault="00F0497A" w:rsidP="00F0497A">
      <w:pPr>
        <w:jc w:val="both"/>
        <w:rPr>
          <w:color w:val="auto"/>
          <w:sz w:val="22"/>
          <w:szCs w:val="22"/>
        </w:rPr>
      </w:pPr>
      <w:r w:rsidRPr="004D0DD5">
        <w:rPr>
          <w:color w:val="auto"/>
          <w:sz w:val="22"/>
          <w:szCs w:val="22"/>
        </w:rPr>
        <w:t xml:space="preserve">Internships are the building blocks of student potential.  They provide the necessary means for students to gain real-life experience and exposure to industry opportunities while learning about themselves and evaluating their areas of interest for the long-term. As such, internships have demonstrated success in students gaining relevant knowledge, skills, and experiences. Furthermore, internships contribute to the development of student professional networks and contribute to improved competitiveness in the job market post-graduation. With </w:t>
      </w:r>
      <w:r w:rsidR="004D0DD5" w:rsidRPr="004D0DD5">
        <w:rPr>
          <w:color w:val="auto"/>
          <w:sz w:val="22"/>
          <w:szCs w:val="22"/>
        </w:rPr>
        <w:t>several</w:t>
      </w:r>
      <w:r w:rsidRPr="004D0DD5">
        <w:rPr>
          <w:color w:val="auto"/>
          <w:sz w:val="22"/>
          <w:szCs w:val="22"/>
        </w:rPr>
        <w:t xml:space="preserve"> growing markets and increased competition for talent recruitment, institutions must direct efforts and emphasize developing and supporting internship programs and opportunities for students.</w:t>
      </w:r>
      <w:r w:rsidRPr="004D0DD5">
        <w:rPr>
          <w:color w:val="auto"/>
          <w:sz w:val="22"/>
          <w:szCs w:val="22"/>
        </w:rPr>
        <w:t xml:space="preserve"> Stockton University has</w:t>
      </w:r>
      <w:r w:rsidRPr="004D0DD5">
        <w:rPr>
          <w:color w:val="auto"/>
          <w:sz w:val="22"/>
          <w:szCs w:val="22"/>
        </w:rPr>
        <w:t xml:space="preserve"> design</w:t>
      </w:r>
      <w:r w:rsidRPr="004D0DD5">
        <w:rPr>
          <w:color w:val="auto"/>
          <w:sz w:val="22"/>
          <w:szCs w:val="22"/>
        </w:rPr>
        <w:t>ed</w:t>
      </w:r>
      <w:r w:rsidRPr="004D0DD5">
        <w:rPr>
          <w:color w:val="auto"/>
          <w:sz w:val="22"/>
          <w:szCs w:val="22"/>
        </w:rPr>
        <w:t xml:space="preserve"> and develop</w:t>
      </w:r>
      <w:r w:rsidRPr="004D0DD5">
        <w:rPr>
          <w:color w:val="auto"/>
          <w:sz w:val="22"/>
          <w:szCs w:val="22"/>
        </w:rPr>
        <w:t>ed</w:t>
      </w:r>
      <w:r w:rsidRPr="004D0DD5">
        <w:rPr>
          <w:color w:val="auto"/>
          <w:sz w:val="22"/>
          <w:szCs w:val="22"/>
        </w:rPr>
        <w:t xml:space="preserve"> internship programming and its measures of success from the perspectives of administration, faculty, and</w:t>
      </w:r>
      <w:r w:rsidR="004D0DD5">
        <w:rPr>
          <w:color w:val="auto"/>
          <w:sz w:val="22"/>
          <w:szCs w:val="22"/>
        </w:rPr>
        <w:t xml:space="preserve"> the</w:t>
      </w:r>
      <w:r w:rsidRPr="004D0DD5">
        <w:rPr>
          <w:color w:val="auto"/>
          <w:sz w:val="22"/>
          <w:szCs w:val="22"/>
        </w:rPr>
        <w:t xml:space="preserve"> employer</w:t>
      </w:r>
      <w:r w:rsidR="004D43E1" w:rsidRPr="004D0DD5">
        <w:rPr>
          <w:color w:val="auto"/>
          <w:sz w:val="22"/>
          <w:szCs w:val="22"/>
        </w:rPr>
        <w:t xml:space="preserve">. </w:t>
      </w:r>
      <w:r w:rsidRPr="004D0DD5">
        <w:rPr>
          <w:color w:val="auto"/>
          <w:sz w:val="22"/>
          <w:szCs w:val="22"/>
        </w:rPr>
        <w:t>T</w:t>
      </w:r>
      <w:r w:rsidRPr="004D0DD5">
        <w:rPr>
          <w:color w:val="auto"/>
          <w:sz w:val="22"/>
          <w:szCs w:val="22"/>
        </w:rPr>
        <w:t xml:space="preserve">he purpose of this </w:t>
      </w:r>
      <w:r w:rsidRPr="004D0DD5">
        <w:rPr>
          <w:color w:val="auto"/>
          <w:sz w:val="22"/>
          <w:szCs w:val="22"/>
        </w:rPr>
        <w:t>panel session was</w:t>
      </w:r>
      <w:r w:rsidRPr="004D0DD5">
        <w:rPr>
          <w:color w:val="auto"/>
          <w:sz w:val="22"/>
          <w:szCs w:val="22"/>
        </w:rPr>
        <w:t xml:space="preserve"> to discuss, disseminate, and brainstorm designing, supporting, measuring, and sustaining internship programming through critical partnerships. Presenters at the panel discuss</w:t>
      </w:r>
      <w:r w:rsidRPr="004D0DD5">
        <w:rPr>
          <w:color w:val="auto"/>
          <w:sz w:val="22"/>
          <w:szCs w:val="22"/>
        </w:rPr>
        <w:t>ed</w:t>
      </w:r>
      <w:r w:rsidRPr="004D0DD5">
        <w:rPr>
          <w:color w:val="auto"/>
          <w:sz w:val="22"/>
          <w:szCs w:val="22"/>
        </w:rPr>
        <w:t xml:space="preserve"> their experiences and perspectives on internship programming with the </w:t>
      </w:r>
      <w:proofErr w:type="gramStart"/>
      <w:r w:rsidRPr="004D0DD5">
        <w:rPr>
          <w:color w:val="auto"/>
          <w:sz w:val="22"/>
          <w:szCs w:val="22"/>
        </w:rPr>
        <w:t>ultimate goal</w:t>
      </w:r>
      <w:proofErr w:type="gramEnd"/>
      <w:r w:rsidRPr="004D0DD5">
        <w:rPr>
          <w:color w:val="auto"/>
          <w:sz w:val="22"/>
          <w:szCs w:val="22"/>
        </w:rPr>
        <w:t xml:space="preserve"> to frame and evaluate their program’s effectiveness, identify structures, systems, and considerations necessary to build a powerful and distinctive program, and share best practices. </w:t>
      </w:r>
      <w:r w:rsidRPr="004D0DD5">
        <w:rPr>
          <w:color w:val="auto"/>
          <w:sz w:val="22"/>
          <w:szCs w:val="22"/>
        </w:rPr>
        <w:t>Several of these areas are highlight</w:t>
      </w:r>
      <w:r w:rsidR="004D43E1" w:rsidRPr="004D0DD5">
        <w:rPr>
          <w:color w:val="auto"/>
          <w:sz w:val="22"/>
          <w:szCs w:val="22"/>
        </w:rPr>
        <w:t>ed</w:t>
      </w:r>
      <w:r w:rsidRPr="004D0DD5">
        <w:rPr>
          <w:color w:val="auto"/>
          <w:sz w:val="22"/>
          <w:szCs w:val="22"/>
        </w:rPr>
        <w:t xml:space="preserve"> below.</w:t>
      </w:r>
    </w:p>
    <w:p w14:paraId="12FCA952" w14:textId="77777777" w:rsidR="00F0497A" w:rsidRPr="004D0DD5" w:rsidRDefault="00F0497A" w:rsidP="00F0497A">
      <w:pPr>
        <w:jc w:val="both"/>
        <w:rPr>
          <w:color w:val="auto"/>
          <w:sz w:val="22"/>
          <w:szCs w:val="22"/>
        </w:rPr>
      </w:pPr>
    </w:p>
    <w:p w14:paraId="67FA867F" w14:textId="179690E1" w:rsidR="00FD5AB4" w:rsidRDefault="00F0497A" w:rsidP="00FD5AB4">
      <w:pPr>
        <w:rPr>
          <w:b/>
          <w:color w:val="auto"/>
          <w:sz w:val="22"/>
          <w:szCs w:val="22"/>
        </w:rPr>
      </w:pPr>
      <w:r w:rsidRPr="004D0DD5">
        <w:rPr>
          <w:b/>
          <w:color w:val="auto"/>
          <w:sz w:val="22"/>
          <w:szCs w:val="22"/>
        </w:rPr>
        <w:t>2 NACE GUIDELINES ON INTERNSHIP CRITERIA AND BEST PRACTICES</w:t>
      </w:r>
    </w:p>
    <w:p w14:paraId="0640CE53" w14:textId="77777777" w:rsidR="004D0DD5" w:rsidRPr="004D0DD5" w:rsidRDefault="004D0DD5" w:rsidP="00FD5AB4">
      <w:pPr>
        <w:rPr>
          <w:b/>
          <w:color w:val="auto"/>
          <w:sz w:val="22"/>
          <w:szCs w:val="22"/>
        </w:rPr>
      </w:pPr>
    </w:p>
    <w:p w14:paraId="6FC06D1F" w14:textId="7F37FDAC" w:rsidR="00F0497A" w:rsidRPr="004D0DD5" w:rsidRDefault="00F0497A" w:rsidP="00F0497A">
      <w:pPr>
        <w:rPr>
          <w:color w:val="auto"/>
          <w:sz w:val="22"/>
          <w:szCs w:val="22"/>
        </w:rPr>
      </w:pPr>
      <w:r w:rsidRPr="004D0DD5">
        <w:rPr>
          <w:color w:val="auto"/>
          <w:sz w:val="22"/>
          <w:szCs w:val="22"/>
        </w:rPr>
        <w:t xml:space="preserve">The </w:t>
      </w:r>
      <w:r w:rsidRPr="004D0DD5">
        <w:rPr>
          <w:color w:val="auto"/>
          <w:sz w:val="22"/>
          <w:szCs w:val="22"/>
        </w:rPr>
        <w:t>National Association of Colleges and Employers</w:t>
      </w:r>
      <w:r w:rsidRPr="004D0DD5">
        <w:rPr>
          <w:color w:val="auto"/>
          <w:sz w:val="22"/>
          <w:szCs w:val="22"/>
        </w:rPr>
        <w:t xml:space="preserve"> provide a framework and guidelines for internship program</w:t>
      </w:r>
      <w:r w:rsidR="004D0DD5">
        <w:rPr>
          <w:color w:val="auto"/>
          <w:sz w:val="22"/>
          <w:szCs w:val="22"/>
        </w:rPr>
        <w:t>m</w:t>
      </w:r>
      <w:r w:rsidRPr="004D0DD5">
        <w:rPr>
          <w:color w:val="auto"/>
          <w:sz w:val="22"/>
          <w:szCs w:val="22"/>
        </w:rPr>
        <w:t>ing.</w:t>
      </w:r>
      <w:r w:rsidR="004D43E1" w:rsidRPr="004D0DD5">
        <w:rPr>
          <w:color w:val="auto"/>
          <w:sz w:val="22"/>
          <w:szCs w:val="22"/>
        </w:rPr>
        <w:t xml:space="preserve"> These guidelines focus on ensuring internship programming success through p</w:t>
      </w:r>
      <w:r w:rsidRPr="004D0DD5">
        <w:rPr>
          <w:color w:val="auto"/>
          <w:sz w:val="22"/>
          <w:szCs w:val="22"/>
        </w:rPr>
        <w:t xml:space="preserve">roviding interns with </w:t>
      </w:r>
      <w:r w:rsidR="004D43E1" w:rsidRPr="004D0DD5">
        <w:rPr>
          <w:color w:val="auto"/>
          <w:sz w:val="22"/>
          <w:szCs w:val="22"/>
        </w:rPr>
        <w:lastRenderedPageBreak/>
        <w:t xml:space="preserve">relevant </w:t>
      </w:r>
      <w:r w:rsidRPr="004D0DD5">
        <w:rPr>
          <w:color w:val="auto"/>
          <w:sz w:val="22"/>
          <w:szCs w:val="22"/>
        </w:rPr>
        <w:t>work</w:t>
      </w:r>
      <w:r w:rsidR="004D43E1" w:rsidRPr="004D0DD5">
        <w:rPr>
          <w:color w:val="auto"/>
          <w:sz w:val="22"/>
          <w:szCs w:val="22"/>
        </w:rPr>
        <w:t xml:space="preserve">, </w:t>
      </w:r>
      <w:r w:rsidRPr="004D0DD5">
        <w:rPr>
          <w:color w:val="auto"/>
          <w:sz w:val="22"/>
          <w:szCs w:val="22"/>
        </w:rPr>
        <w:t>related to their major</w:t>
      </w:r>
      <w:r w:rsidR="004D43E1" w:rsidRPr="004D0DD5">
        <w:rPr>
          <w:color w:val="auto"/>
          <w:sz w:val="22"/>
          <w:szCs w:val="22"/>
        </w:rPr>
        <w:t xml:space="preserve"> as a primary focus. Based on student internship success and satisfaction with their internship experience, this work should be </w:t>
      </w:r>
      <w:r w:rsidRPr="004D0DD5">
        <w:rPr>
          <w:color w:val="auto"/>
          <w:sz w:val="22"/>
          <w:szCs w:val="22"/>
        </w:rPr>
        <w:t>challenging</w:t>
      </w:r>
      <w:r w:rsidR="004D43E1" w:rsidRPr="004D0DD5">
        <w:rPr>
          <w:color w:val="auto"/>
          <w:sz w:val="22"/>
          <w:szCs w:val="22"/>
        </w:rPr>
        <w:t xml:space="preserve"> as well as</w:t>
      </w:r>
      <w:r w:rsidRPr="004D0DD5">
        <w:rPr>
          <w:color w:val="auto"/>
          <w:sz w:val="22"/>
          <w:szCs w:val="22"/>
        </w:rPr>
        <w:t xml:space="preserve"> recognized by the organization as valuable.</w:t>
      </w:r>
      <w:r w:rsidR="004D43E1" w:rsidRPr="004D0DD5">
        <w:rPr>
          <w:color w:val="auto"/>
          <w:sz w:val="22"/>
          <w:szCs w:val="22"/>
        </w:rPr>
        <w:t xml:space="preserve"> As part of student development and career services, university programs can promote greater internship success through partnering with hiring managers and developing criteria that includes </w:t>
      </w:r>
      <w:r w:rsidR="004D43E1" w:rsidRPr="004D0DD5">
        <w:rPr>
          <w:color w:val="auto"/>
          <w:sz w:val="22"/>
          <w:szCs w:val="22"/>
        </w:rPr>
        <w:t>provid</w:t>
      </w:r>
      <w:r w:rsidR="004D43E1" w:rsidRPr="004D0DD5">
        <w:rPr>
          <w:color w:val="auto"/>
          <w:sz w:val="22"/>
          <w:szCs w:val="22"/>
        </w:rPr>
        <w:t>ing</w:t>
      </w:r>
      <w:r w:rsidR="004D43E1" w:rsidRPr="004D0DD5">
        <w:rPr>
          <w:color w:val="auto"/>
          <w:sz w:val="22"/>
          <w:szCs w:val="22"/>
        </w:rPr>
        <w:t xml:space="preserve"> real work assignments </w:t>
      </w:r>
      <w:r w:rsidR="004D43E1" w:rsidRPr="004D0DD5">
        <w:rPr>
          <w:color w:val="auto"/>
          <w:sz w:val="22"/>
          <w:szCs w:val="22"/>
        </w:rPr>
        <w:t>as part of the internship offering. This includes university staff partnering with these hiring managers to review</w:t>
      </w:r>
      <w:r w:rsidR="004D43E1" w:rsidRPr="004D0DD5">
        <w:rPr>
          <w:color w:val="auto"/>
          <w:sz w:val="22"/>
          <w:szCs w:val="22"/>
        </w:rPr>
        <w:t xml:space="preserve"> job descriptions, emphasizing</w:t>
      </w:r>
      <w:r w:rsidR="004D43E1" w:rsidRPr="004D0DD5">
        <w:rPr>
          <w:color w:val="auto"/>
          <w:sz w:val="22"/>
          <w:szCs w:val="22"/>
        </w:rPr>
        <w:t xml:space="preserve"> the </w:t>
      </w:r>
      <w:r w:rsidR="004D43E1" w:rsidRPr="004D0DD5">
        <w:rPr>
          <w:color w:val="auto"/>
          <w:sz w:val="22"/>
          <w:szCs w:val="22"/>
        </w:rPr>
        <w:t xml:space="preserve">real work assignments </w:t>
      </w:r>
      <w:r w:rsidR="004D43E1" w:rsidRPr="004D0DD5">
        <w:rPr>
          <w:color w:val="auto"/>
          <w:sz w:val="22"/>
          <w:szCs w:val="22"/>
        </w:rPr>
        <w:t>as well as develop an employer affiliation agreement with this requirement,</w:t>
      </w:r>
      <w:r w:rsidR="004D43E1" w:rsidRPr="004D0DD5">
        <w:rPr>
          <w:color w:val="auto"/>
          <w:sz w:val="22"/>
          <w:szCs w:val="22"/>
        </w:rPr>
        <w:t xml:space="preserve"> communicating </w:t>
      </w:r>
      <w:r w:rsidR="004D43E1" w:rsidRPr="004D0DD5">
        <w:rPr>
          <w:color w:val="auto"/>
          <w:sz w:val="22"/>
          <w:szCs w:val="22"/>
        </w:rPr>
        <w:t xml:space="preserve">frequently </w:t>
      </w:r>
      <w:r w:rsidR="004D43E1" w:rsidRPr="004D0DD5">
        <w:rPr>
          <w:color w:val="auto"/>
          <w:sz w:val="22"/>
          <w:szCs w:val="22"/>
        </w:rPr>
        <w:t>with interns</w:t>
      </w:r>
      <w:r w:rsidR="004D43E1" w:rsidRPr="004D0DD5">
        <w:rPr>
          <w:color w:val="auto"/>
          <w:sz w:val="22"/>
          <w:szCs w:val="22"/>
        </w:rPr>
        <w:t xml:space="preserve">, and conducting property/internship checkup visits. The complete list of NACE guidelines can be found at </w:t>
      </w:r>
      <w:r w:rsidR="004D43E1" w:rsidRPr="004D0DD5">
        <w:rPr>
          <w:color w:val="auto"/>
          <w:sz w:val="22"/>
          <w:szCs w:val="22"/>
        </w:rPr>
        <w:t>https://www.naceweb.org/</w:t>
      </w:r>
      <w:r w:rsidR="004D43E1" w:rsidRPr="004D0DD5">
        <w:rPr>
          <w:color w:val="auto"/>
          <w:sz w:val="22"/>
          <w:szCs w:val="22"/>
        </w:rPr>
        <w:t>.</w:t>
      </w:r>
    </w:p>
    <w:p w14:paraId="44272CB5" w14:textId="77777777" w:rsidR="00F0497A" w:rsidRPr="004D0DD5" w:rsidRDefault="00F0497A" w:rsidP="00F0497A">
      <w:pPr>
        <w:rPr>
          <w:color w:val="auto"/>
          <w:sz w:val="22"/>
          <w:szCs w:val="22"/>
        </w:rPr>
      </w:pPr>
    </w:p>
    <w:p w14:paraId="7D297B8F" w14:textId="3935EA2F" w:rsidR="00F0497A" w:rsidRPr="004D0DD5" w:rsidRDefault="00F0497A" w:rsidP="00FD5AB4">
      <w:pPr>
        <w:rPr>
          <w:b/>
          <w:color w:val="auto"/>
          <w:sz w:val="22"/>
          <w:szCs w:val="22"/>
        </w:rPr>
      </w:pPr>
      <w:r w:rsidRPr="004D0DD5">
        <w:rPr>
          <w:b/>
          <w:color w:val="auto"/>
          <w:sz w:val="22"/>
          <w:szCs w:val="22"/>
        </w:rPr>
        <w:t>3 DEVELOPMENT AND MAINTENANCE OF EMPLOYEER RELATIONSHIPS</w:t>
      </w:r>
    </w:p>
    <w:p w14:paraId="486D55D0" w14:textId="7F119C13" w:rsidR="00577C17" w:rsidRPr="004D0DD5" w:rsidRDefault="004D43E1" w:rsidP="00577C17">
      <w:pPr>
        <w:jc w:val="both"/>
        <w:rPr>
          <w:color w:val="auto"/>
          <w:sz w:val="22"/>
          <w:szCs w:val="22"/>
        </w:rPr>
      </w:pPr>
      <w:r w:rsidRPr="004D0DD5">
        <w:rPr>
          <w:color w:val="auto"/>
          <w:sz w:val="22"/>
          <w:szCs w:val="22"/>
        </w:rPr>
        <w:t xml:space="preserve">Not all programs require students to complete an internship. In the case of Stockton University’s </w:t>
      </w:r>
      <w:r w:rsidR="00577C17" w:rsidRPr="004D0DD5">
        <w:rPr>
          <w:color w:val="auto"/>
          <w:sz w:val="22"/>
          <w:szCs w:val="22"/>
        </w:rPr>
        <w:t>Hospitality</w:t>
      </w:r>
      <w:r w:rsidRPr="004D0DD5">
        <w:rPr>
          <w:color w:val="auto"/>
          <w:sz w:val="22"/>
          <w:szCs w:val="22"/>
        </w:rPr>
        <w:t xml:space="preserve">, Tourism and Event </w:t>
      </w:r>
      <w:r w:rsidR="00577C17" w:rsidRPr="004D0DD5">
        <w:rPr>
          <w:color w:val="auto"/>
          <w:sz w:val="22"/>
          <w:szCs w:val="22"/>
        </w:rPr>
        <w:t>Management</w:t>
      </w:r>
      <w:r w:rsidRPr="004D0DD5">
        <w:rPr>
          <w:color w:val="auto"/>
          <w:sz w:val="22"/>
          <w:szCs w:val="22"/>
        </w:rPr>
        <w:t xml:space="preserve"> Studies program, an internship is a graduation requirement. This emphasizes the importance of developing and maintaining relationships with </w:t>
      </w:r>
      <w:r w:rsidR="00577C17" w:rsidRPr="004D0DD5">
        <w:rPr>
          <w:color w:val="auto"/>
          <w:sz w:val="22"/>
          <w:szCs w:val="22"/>
        </w:rPr>
        <w:t>employers</w:t>
      </w:r>
      <w:r w:rsidRPr="004D0DD5">
        <w:rPr>
          <w:color w:val="auto"/>
          <w:sz w:val="22"/>
          <w:szCs w:val="22"/>
        </w:rPr>
        <w:t xml:space="preserve"> to support the </w:t>
      </w:r>
      <w:r w:rsidR="00577C17" w:rsidRPr="004D0DD5">
        <w:rPr>
          <w:color w:val="auto"/>
          <w:sz w:val="22"/>
          <w:szCs w:val="22"/>
        </w:rPr>
        <w:t>longevity</w:t>
      </w:r>
      <w:r w:rsidRPr="004D0DD5">
        <w:rPr>
          <w:color w:val="auto"/>
          <w:sz w:val="22"/>
          <w:szCs w:val="22"/>
        </w:rPr>
        <w:t xml:space="preserve"> of the program as well as build </w:t>
      </w:r>
      <w:r w:rsidR="00577C17" w:rsidRPr="004D0DD5">
        <w:rPr>
          <w:color w:val="auto"/>
          <w:sz w:val="22"/>
          <w:szCs w:val="22"/>
        </w:rPr>
        <w:t>credibility</w:t>
      </w:r>
      <w:r w:rsidRPr="004D0DD5">
        <w:rPr>
          <w:color w:val="auto"/>
          <w:sz w:val="22"/>
          <w:szCs w:val="22"/>
        </w:rPr>
        <w:t xml:space="preserve"> of the quality of student interns that reflect the program. The</w:t>
      </w:r>
      <w:r w:rsidR="00577C17" w:rsidRPr="004D0DD5">
        <w:rPr>
          <w:color w:val="auto"/>
          <w:sz w:val="22"/>
          <w:szCs w:val="22"/>
        </w:rPr>
        <w:t>re are several strategies that help to</w:t>
      </w:r>
      <w:r w:rsidRPr="004D0DD5">
        <w:rPr>
          <w:color w:val="auto"/>
          <w:sz w:val="22"/>
          <w:szCs w:val="22"/>
        </w:rPr>
        <w:t xml:space="preserve"> d</w:t>
      </w:r>
      <w:r w:rsidRPr="004D0DD5">
        <w:rPr>
          <w:color w:val="auto"/>
          <w:sz w:val="22"/>
          <w:szCs w:val="22"/>
        </w:rPr>
        <w:t>evelop and maint</w:t>
      </w:r>
      <w:r w:rsidR="00577C17" w:rsidRPr="004D0DD5">
        <w:rPr>
          <w:color w:val="auto"/>
          <w:sz w:val="22"/>
          <w:szCs w:val="22"/>
        </w:rPr>
        <w:t>ain</w:t>
      </w:r>
      <w:r w:rsidRPr="004D0DD5">
        <w:rPr>
          <w:color w:val="auto"/>
          <w:sz w:val="22"/>
          <w:szCs w:val="22"/>
        </w:rPr>
        <w:t xml:space="preserve"> employer relationships</w:t>
      </w:r>
      <w:r w:rsidR="00577C17" w:rsidRPr="004D0DD5">
        <w:rPr>
          <w:color w:val="auto"/>
          <w:sz w:val="22"/>
          <w:szCs w:val="22"/>
        </w:rPr>
        <w:t xml:space="preserve">. Program administration, staff, and faculty must be active members of the community and express their commitment to these business partnerships. This can include the development of an advisory board in which internship employers can influence curriculum, share their operational challenges and future needs, as well as stay up to date on program enhancements. Internship recognition is also important.  An annual employer breakfast as well as an annual advisory board meeting have provided these opportunities as well as to showcase highly successful interns. Lastly, the development of an employer residency program, in which an employer visits the campus to promote opportunities in addition to participation in career fairs, has also proven to be successful. </w:t>
      </w:r>
    </w:p>
    <w:p w14:paraId="6465D17B" w14:textId="4D015D83" w:rsidR="004D43E1" w:rsidRPr="004D0DD5" w:rsidRDefault="00577C17" w:rsidP="00577C17">
      <w:pPr>
        <w:jc w:val="both"/>
        <w:rPr>
          <w:color w:val="auto"/>
          <w:sz w:val="22"/>
          <w:szCs w:val="22"/>
        </w:rPr>
      </w:pPr>
      <w:r w:rsidRPr="004D0DD5">
        <w:rPr>
          <w:color w:val="auto"/>
          <w:sz w:val="22"/>
          <w:szCs w:val="22"/>
        </w:rPr>
        <w:t xml:space="preserve"> </w:t>
      </w:r>
    </w:p>
    <w:p w14:paraId="6907661B" w14:textId="619D7EF5" w:rsidR="00F0497A" w:rsidRPr="004D0DD5" w:rsidRDefault="00F0497A" w:rsidP="00FD5AB4">
      <w:pPr>
        <w:rPr>
          <w:b/>
          <w:color w:val="auto"/>
          <w:sz w:val="22"/>
          <w:szCs w:val="22"/>
        </w:rPr>
      </w:pPr>
      <w:r w:rsidRPr="004D0DD5">
        <w:rPr>
          <w:b/>
          <w:color w:val="auto"/>
          <w:sz w:val="22"/>
          <w:szCs w:val="22"/>
        </w:rPr>
        <w:t>4 CAREER FAIRS</w:t>
      </w:r>
    </w:p>
    <w:p w14:paraId="6A78C74C" w14:textId="06816A9A" w:rsidR="004D0DD5" w:rsidRPr="004D0DD5" w:rsidRDefault="00577C17" w:rsidP="00577C17">
      <w:pPr>
        <w:rPr>
          <w:color w:val="auto"/>
          <w:sz w:val="22"/>
          <w:szCs w:val="22"/>
        </w:rPr>
      </w:pPr>
      <w:r w:rsidRPr="004D0DD5">
        <w:rPr>
          <w:color w:val="auto"/>
          <w:sz w:val="22"/>
          <w:szCs w:val="22"/>
        </w:rPr>
        <w:t xml:space="preserve">Careers fairs are </w:t>
      </w:r>
      <w:r w:rsidRPr="004D0DD5">
        <w:rPr>
          <w:color w:val="auto"/>
          <w:sz w:val="22"/>
          <w:szCs w:val="22"/>
        </w:rPr>
        <w:t xml:space="preserve">pivotal to a strong internship foundation. Career fairs are </w:t>
      </w:r>
      <w:r w:rsidRPr="004D0DD5">
        <w:rPr>
          <w:color w:val="auto"/>
          <w:sz w:val="22"/>
          <w:szCs w:val="22"/>
        </w:rPr>
        <w:t>useful for a range of students</w:t>
      </w:r>
      <w:r w:rsidRPr="004D0DD5">
        <w:rPr>
          <w:color w:val="auto"/>
          <w:sz w:val="22"/>
          <w:szCs w:val="22"/>
        </w:rPr>
        <w:t xml:space="preserve"> including those required to obtain an internship or for those that an internship may be optional. This also includes students</w:t>
      </w:r>
      <w:r w:rsidRPr="004D0DD5">
        <w:rPr>
          <w:color w:val="auto"/>
          <w:sz w:val="22"/>
          <w:szCs w:val="22"/>
        </w:rPr>
        <w:t xml:space="preserve"> starting their degree and looking for work experience opportunities, as well as recent graduates looking for full-time employment to find out about potential employers. </w:t>
      </w:r>
      <w:r w:rsidRPr="004D0DD5">
        <w:rPr>
          <w:color w:val="auto"/>
          <w:sz w:val="22"/>
          <w:szCs w:val="22"/>
        </w:rPr>
        <w:t xml:space="preserve">Employers come to the event ready to hire. </w:t>
      </w:r>
      <w:r w:rsidRPr="004D0DD5">
        <w:rPr>
          <w:color w:val="auto"/>
          <w:sz w:val="22"/>
          <w:szCs w:val="22"/>
        </w:rPr>
        <w:t xml:space="preserve">Potential employers </w:t>
      </w:r>
      <w:r w:rsidR="00160504">
        <w:rPr>
          <w:color w:val="auto"/>
          <w:sz w:val="22"/>
          <w:szCs w:val="22"/>
        </w:rPr>
        <w:t xml:space="preserve">may </w:t>
      </w:r>
      <w:r w:rsidRPr="004D0DD5">
        <w:rPr>
          <w:color w:val="auto"/>
          <w:sz w:val="22"/>
          <w:szCs w:val="22"/>
        </w:rPr>
        <w:t>include casinos, hotels, social service agencies, law enforcement and heath care businesses and agencies</w:t>
      </w:r>
      <w:r w:rsidR="00160504">
        <w:rPr>
          <w:color w:val="auto"/>
          <w:sz w:val="22"/>
          <w:szCs w:val="22"/>
        </w:rPr>
        <w:t xml:space="preserve"> relative to the student population</w:t>
      </w:r>
      <w:r w:rsidRPr="004D0DD5">
        <w:rPr>
          <w:color w:val="auto"/>
          <w:sz w:val="22"/>
          <w:szCs w:val="22"/>
        </w:rPr>
        <w:t xml:space="preserve">. Many </w:t>
      </w:r>
      <w:r w:rsidR="00160504">
        <w:rPr>
          <w:color w:val="auto"/>
          <w:sz w:val="22"/>
          <w:szCs w:val="22"/>
        </w:rPr>
        <w:t>employers list</w:t>
      </w:r>
      <w:r w:rsidRPr="004D0DD5">
        <w:rPr>
          <w:color w:val="auto"/>
          <w:sz w:val="22"/>
          <w:szCs w:val="22"/>
        </w:rPr>
        <w:t xml:space="preserve"> the jobs or internships they have available so students could see the variety of options.</w:t>
      </w:r>
      <w:r w:rsidR="004D0DD5" w:rsidRPr="004D0DD5">
        <w:rPr>
          <w:color w:val="auto"/>
          <w:sz w:val="22"/>
          <w:szCs w:val="22"/>
        </w:rPr>
        <w:t xml:space="preserve"> </w:t>
      </w:r>
      <w:r w:rsidRPr="004D0DD5">
        <w:rPr>
          <w:color w:val="auto"/>
          <w:sz w:val="22"/>
          <w:szCs w:val="22"/>
        </w:rPr>
        <w:t xml:space="preserve">Those attending </w:t>
      </w:r>
      <w:r w:rsidR="00160504">
        <w:rPr>
          <w:color w:val="auto"/>
          <w:sz w:val="22"/>
          <w:szCs w:val="22"/>
        </w:rPr>
        <w:t xml:space="preserve">the </w:t>
      </w:r>
      <w:r w:rsidRPr="004D0DD5">
        <w:rPr>
          <w:color w:val="auto"/>
          <w:sz w:val="22"/>
          <w:szCs w:val="22"/>
        </w:rPr>
        <w:t xml:space="preserve">career fair </w:t>
      </w:r>
      <w:r w:rsidR="004D0DD5" w:rsidRPr="004D0DD5">
        <w:rPr>
          <w:color w:val="auto"/>
          <w:sz w:val="22"/>
          <w:szCs w:val="22"/>
        </w:rPr>
        <w:t xml:space="preserve">are encouraged to be prepared for on the spot interviews with their resumes and to </w:t>
      </w:r>
      <w:r w:rsidRPr="004D0DD5">
        <w:rPr>
          <w:color w:val="auto"/>
          <w:sz w:val="22"/>
          <w:szCs w:val="22"/>
        </w:rPr>
        <w:t>ask any questions they wish to prospective employers and take notes on their answer, as well as being able to take any promotional material.</w:t>
      </w:r>
      <w:r w:rsidR="004D0DD5" w:rsidRPr="004D0DD5">
        <w:rPr>
          <w:color w:val="auto"/>
          <w:sz w:val="22"/>
          <w:szCs w:val="22"/>
        </w:rPr>
        <w:t xml:space="preserve"> </w:t>
      </w:r>
      <w:r w:rsidR="00160504">
        <w:rPr>
          <w:color w:val="auto"/>
          <w:sz w:val="22"/>
          <w:szCs w:val="22"/>
        </w:rPr>
        <w:t>Post the event, it is also advised to solicit student feedback.</w:t>
      </w:r>
    </w:p>
    <w:p w14:paraId="49E46800" w14:textId="77777777" w:rsidR="004D0DD5" w:rsidRPr="004D0DD5" w:rsidRDefault="004D0DD5" w:rsidP="00FD5AB4">
      <w:pPr>
        <w:rPr>
          <w:b/>
          <w:color w:val="auto"/>
          <w:sz w:val="22"/>
          <w:szCs w:val="22"/>
        </w:rPr>
      </w:pPr>
    </w:p>
    <w:p w14:paraId="553716B6" w14:textId="0EA8609B" w:rsidR="00F0497A" w:rsidRPr="004D0DD5" w:rsidRDefault="004D0DD5" w:rsidP="00FD5AB4">
      <w:pPr>
        <w:rPr>
          <w:b/>
          <w:color w:val="auto"/>
          <w:sz w:val="22"/>
          <w:szCs w:val="22"/>
        </w:rPr>
      </w:pPr>
      <w:r w:rsidRPr="004D0DD5">
        <w:rPr>
          <w:b/>
          <w:color w:val="auto"/>
          <w:sz w:val="22"/>
          <w:szCs w:val="22"/>
        </w:rPr>
        <w:t>5</w:t>
      </w:r>
      <w:r w:rsidR="00F0497A" w:rsidRPr="004D0DD5">
        <w:rPr>
          <w:b/>
          <w:color w:val="auto"/>
          <w:sz w:val="22"/>
          <w:szCs w:val="22"/>
        </w:rPr>
        <w:t xml:space="preserve"> </w:t>
      </w:r>
      <w:proofErr w:type="gramStart"/>
      <w:r w:rsidR="00F0497A" w:rsidRPr="004D0DD5">
        <w:rPr>
          <w:b/>
          <w:color w:val="auto"/>
          <w:sz w:val="22"/>
          <w:szCs w:val="22"/>
        </w:rPr>
        <w:t>CONCLUSION</w:t>
      </w:r>
      <w:proofErr w:type="gramEnd"/>
    </w:p>
    <w:p w14:paraId="0B1DE9BE" w14:textId="7EACDC88" w:rsidR="004D0DD5" w:rsidRPr="004D0DD5" w:rsidRDefault="004D0DD5" w:rsidP="00DF5D43">
      <w:pPr>
        <w:rPr>
          <w:color w:val="auto"/>
          <w:sz w:val="22"/>
          <w:szCs w:val="22"/>
        </w:rPr>
      </w:pPr>
      <w:proofErr w:type="gramStart"/>
      <w:r w:rsidRPr="004D0DD5">
        <w:rPr>
          <w:color w:val="auto"/>
          <w:sz w:val="22"/>
          <w:szCs w:val="22"/>
        </w:rPr>
        <w:t>In order for</w:t>
      </w:r>
      <w:proofErr w:type="gramEnd"/>
      <w:r w:rsidRPr="004D0DD5">
        <w:rPr>
          <w:color w:val="auto"/>
          <w:sz w:val="22"/>
          <w:szCs w:val="22"/>
        </w:rPr>
        <w:t xml:space="preserve"> internship programming to be successful, it requires collaboration between university administration, staff, faculty, and business partners. Developing clear standards and expectations for employer internship requirements as well as provide opportunities for employers to influence university program</w:t>
      </w:r>
      <w:r w:rsidR="00160504">
        <w:rPr>
          <w:color w:val="auto"/>
          <w:sz w:val="22"/>
          <w:szCs w:val="22"/>
        </w:rPr>
        <w:t>ming</w:t>
      </w:r>
      <w:r w:rsidRPr="004D0DD5">
        <w:rPr>
          <w:color w:val="auto"/>
          <w:sz w:val="22"/>
          <w:szCs w:val="22"/>
        </w:rPr>
        <w:t xml:space="preserve"> provides mutual positive benefits. The integration of several tools including employer toolkits, recognition breakfasts, participation on advisory board meetings, are just some strategies. </w:t>
      </w:r>
      <w:r w:rsidRPr="004D0DD5">
        <w:rPr>
          <w:color w:val="auto"/>
          <w:sz w:val="22"/>
          <w:szCs w:val="22"/>
        </w:rPr>
        <w:t>Defin</w:t>
      </w:r>
      <w:r w:rsidRPr="004D0DD5">
        <w:rPr>
          <w:color w:val="auto"/>
          <w:sz w:val="22"/>
          <w:szCs w:val="22"/>
        </w:rPr>
        <w:t xml:space="preserve">ing </w:t>
      </w:r>
      <w:r w:rsidRPr="004D0DD5">
        <w:rPr>
          <w:color w:val="auto"/>
          <w:sz w:val="22"/>
          <w:szCs w:val="22"/>
        </w:rPr>
        <w:t xml:space="preserve">measures of success from the perspectives </w:t>
      </w:r>
      <w:r w:rsidRPr="004D0DD5">
        <w:rPr>
          <w:color w:val="auto"/>
          <w:sz w:val="22"/>
          <w:szCs w:val="22"/>
        </w:rPr>
        <w:t>of all involved promote greater longevity and satisfaction. For more</w:t>
      </w:r>
      <w:bookmarkStart w:id="0" w:name="_GoBack"/>
      <w:bookmarkEnd w:id="0"/>
      <w:r w:rsidRPr="004D0DD5">
        <w:rPr>
          <w:color w:val="auto"/>
          <w:sz w:val="22"/>
          <w:szCs w:val="22"/>
        </w:rPr>
        <w:t xml:space="preserve"> information and best practices, contact the panelists directly.</w:t>
      </w:r>
    </w:p>
    <w:p w14:paraId="58991D4C" w14:textId="4DDB2B8A" w:rsidR="007504D0" w:rsidRPr="004D0DD5" w:rsidRDefault="004B3A13" w:rsidP="004D0DD5">
      <w:pPr>
        <w:rPr>
          <w:b/>
          <w:i/>
          <w:color w:val="auto"/>
          <w:sz w:val="22"/>
          <w:szCs w:val="22"/>
        </w:rPr>
      </w:pPr>
      <w:r w:rsidRPr="004D0DD5">
        <w:rPr>
          <w:b/>
          <w:i/>
          <w:color w:val="auto"/>
          <w:sz w:val="22"/>
          <w:szCs w:val="22"/>
        </w:rPr>
        <w:t xml:space="preserve"> </w:t>
      </w:r>
    </w:p>
    <w:sectPr w:rsidR="007504D0" w:rsidRPr="004D0DD5" w:rsidSect="004B3A13">
      <w:type w:val="continuous"/>
      <w:pgSz w:w="12240" w:h="15840"/>
      <w:pgMar w:top="1008" w:right="1008" w:bottom="1008" w:left="100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F7470"/>
    <w:multiLevelType w:val="multilevel"/>
    <w:tmpl w:val="9F54C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MLUwMjE3MTczNjBV0lEKTi0uzszPAymwqAUAXJjVNywAAAA="/>
  </w:docVars>
  <w:rsids>
    <w:rsidRoot w:val="009377A2"/>
    <w:rsid w:val="000A0DD9"/>
    <w:rsid w:val="001316F6"/>
    <w:rsid w:val="00160504"/>
    <w:rsid w:val="00173FCE"/>
    <w:rsid w:val="001D08D7"/>
    <w:rsid w:val="00217E0B"/>
    <w:rsid w:val="0022008B"/>
    <w:rsid w:val="002B1D80"/>
    <w:rsid w:val="00305940"/>
    <w:rsid w:val="00392D56"/>
    <w:rsid w:val="004B3A13"/>
    <w:rsid w:val="004D0DD5"/>
    <w:rsid w:val="004D43E1"/>
    <w:rsid w:val="00527240"/>
    <w:rsid w:val="00577C17"/>
    <w:rsid w:val="00673D9A"/>
    <w:rsid w:val="006A2C3C"/>
    <w:rsid w:val="00745033"/>
    <w:rsid w:val="007504D0"/>
    <w:rsid w:val="007669DC"/>
    <w:rsid w:val="00767D1D"/>
    <w:rsid w:val="00800857"/>
    <w:rsid w:val="009377A2"/>
    <w:rsid w:val="00961793"/>
    <w:rsid w:val="00A92065"/>
    <w:rsid w:val="00C50FB6"/>
    <w:rsid w:val="00C7553D"/>
    <w:rsid w:val="00CC1933"/>
    <w:rsid w:val="00D22C49"/>
    <w:rsid w:val="00D57ADA"/>
    <w:rsid w:val="00DF5D43"/>
    <w:rsid w:val="00E2158A"/>
    <w:rsid w:val="00EC3D27"/>
    <w:rsid w:val="00F0497A"/>
    <w:rsid w:val="00F1392A"/>
    <w:rsid w:val="00F353A4"/>
    <w:rsid w:val="00FD5AB4"/>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9FD0"/>
  <w15:chartTrackingRefBased/>
  <w15:docId w15:val="{62DB4E4C-BCD0-4FDF-987D-EEAB0629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27F3"/>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A13"/>
    <w:rPr>
      <w:color w:val="0563C1" w:themeColor="hyperlink"/>
      <w:u w:val="single"/>
    </w:rPr>
  </w:style>
  <w:style w:type="character" w:styleId="CommentReference">
    <w:name w:val="annotation reference"/>
    <w:basedOn w:val="DefaultParagraphFont"/>
    <w:uiPriority w:val="99"/>
    <w:semiHidden/>
    <w:unhideWhenUsed/>
    <w:rsid w:val="00767D1D"/>
    <w:rPr>
      <w:sz w:val="16"/>
      <w:szCs w:val="16"/>
    </w:rPr>
  </w:style>
  <w:style w:type="paragraph" w:styleId="CommentText">
    <w:name w:val="annotation text"/>
    <w:basedOn w:val="Normal"/>
    <w:link w:val="CommentTextChar"/>
    <w:uiPriority w:val="99"/>
    <w:semiHidden/>
    <w:unhideWhenUsed/>
    <w:rsid w:val="00767D1D"/>
    <w:rPr>
      <w:sz w:val="20"/>
      <w:szCs w:val="20"/>
    </w:rPr>
  </w:style>
  <w:style w:type="character" w:customStyle="1" w:styleId="CommentTextChar">
    <w:name w:val="Comment Text Char"/>
    <w:basedOn w:val="DefaultParagraphFont"/>
    <w:link w:val="CommentText"/>
    <w:uiPriority w:val="99"/>
    <w:semiHidden/>
    <w:rsid w:val="00767D1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67D1D"/>
    <w:rPr>
      <w:b/>
      <w:bCs/>
    </w:rPr>
  </w:style>
  <w:style w:type="character" w:customStyle="1" w:styleId="CommentSubjectChar">
    <w:name w:val="Comment Subject Char"/>
    <w:basedOn w:val="CommentTextChar"/>
    <w:link w:val="CommentSubject"/>
    <w:uiPriority w:val="99"/>
    <w:semiHidden/>
    <w:rsid w:val="00767D1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67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1D"/>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7669DC"/>
    <w:rPr>
      <w:color w:val="954F72" w:themeColor="followedHyperlink"/>
      <w:u w:val="single"/>
    </w:rPr>
  </w:style>
  <w:style w:type="paragraph" w:customStyle="1" w:styleId="Default">
    <w:name w:val="Default"/>
    <w:rsid w:val="006A2C3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50FB6"/>
    <w:rPr>
      <w:color w:val="605E5C"/>
      <w:shd w:val="clear" w:color="auto" w:fill="E1DFDD"/>
    </w:rPr>
  </w:style>
  <w:style w:type="table" w:styleId="PlainTable2">
    <w:name w:val="Plain Table 2"/>
    <w:basedOn w:val="TableNormal"/>
    <w:uiPriority w:val="42"/>
    <w:rsid w:val="00FF27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1380">
      <w:bodyDiv w:val="1"/>
      <w:marLeft w:val="0"/>
      <w:marRight w:val="0"/>
      <w:marTop w:val="0"/>
      <w:marBottom w:val="0"/>
      <w:divBdr>
        <w:top w:val="none" w:sz="0" w:space="0" w:color="auto"/>
        <w:left w:val="none" w:sz="0" w:space="0" w:color="auto"/>
        <w:bottom w:val="none" w:sz="0" w:space="0" w:color="auto"/>
        <w:right w:val="none" w:sz="0" w:space="0" w:color="auto"/>
      </w:divBdr>
      <w:divsChild>
        <w:div w:id="1321081951">
          <w:marLeft w:val="0"/>
          <w:marRight w:val="0"/>
          <w:marTop w:val="134"/>
          <w:marBottom w:val="0"/>
          <w:divBdr>
            <w:top w:val="none" w:sz="0" w:space="0" w:color="auto"/>
            <w:left w:val="none" w:sz="0" w:space="0" w:color="auto"/>
            <w:bottom w:val="none" w:sz="0" w:space="0" w:color="auto"/>
            <w:right w:val="none" w:sz="0" w:space="0" w:color="auto"/>
          </w:divBdr>
        </w:div>
      </w:divsChild>
    </w:div>
    <w:div w:id="208761967">
      <w:bodyDiv w:val="1"/>
      <w:marLeft w:val="0"/>
      <w:marRight w:val="0"/>
      <w:marTop w:val="0"/>
      <w:marBottom w:val="0"/>
      <w:divBdr>
        <w:top w:val="none" w:sz="0" w:space="0" w:color="auto"/>
        <w:left w:val="none" w:sz="0" w:space="0" w:color="auto"/>
        <w:bottom w:val="none" w:sz="0" w:space="0" w:color="auto"/>
        <w:right w:val="none" w:sz="0" w:space="0" w:color="auto"/>
      </w:divBdr>
    </w:div>
    <w:div w:id="236400222">
      <w:bodyDiv w:val="1"/>
      <w:marLeft w:val="0"/>
      <w:marRight w:val="0"/>
      <w:marTop w:val="0"/>
      <w:marBottom w:val="0"/>
      <w:divBdr>
        <w:top w:val="none" w:sz="0" w:space="0" w:color="auto"/>
        <w:left w:val="none" w:sz="0" w:space="0" w:color="auto"/>
        <w:bottom w:val="none" w:sz="0" w:space="0" w:color="auto"/>
        <w:right w:val="none" w:sz="0" w:space="0" w:color="auto"/>
      </w:divBdr>
    </w:div>
    <w:div w:id="286929874">
      <w:bodyDiv w:val="1"/>
      <w:marLeft w:val="0"/>
      <w:marRight w:val="0"/>
      <w:marTop w:val="0"/>
      <w:marBottom w:val="0"/>
      <w:divBdr>
        <w:top w:val="none" w:sz="0" w:space="0" w:color="auto"/>
        <w:left w:val="none" w:sz="0" w:space="0" w:color="auto"/>
        <w:bottom w:val="none" w:sz="0" w:space="0" w:color="auto"/>
        <w:right w:val="none" w:sz="0" w:space="0" w:color="auto"/>
      </w:divBdr>
    </w:div>
    <w:div w:id="913004680">
      <w:bodyDiv w:val="1"/>
      <w:marLeft w:val="0"/>
      <w:marRight w:val="0"/>
      <w:marTop w:val="0"/>
      <w:marBottom w:val="0"/>
      <w:divBdr>
        <w:top w:val="none" w:sz="0" w:space="0" w:color="auto"/>
        <w:left w:val="none" w:sz="0" w:space="0" w:color="auto"/>
        <w:bottom w:val="none" w:sz="0" w:space="0" w:color="auto"/>
        <w:right w:val="none" w:sz="0" w:space="0" w:color="auto"/>
      </w:divBdr>
    </w:div>
    <w:div w:id="965358766">
      <w:bodyDiv w:val="1"/>
      <w:marLeft w:val="0"/>
      <w:marRight w:val="0"/>
      <w:marTop w:val="0"/>
      <w:marBottom w:val="0"/>
      <w:divBdr>
        <w:top w:val="none" w:sz="0" w:space="0" w:color="auto"/>
        <w:left w:val="none" w:sz="0" w:space="0" w:color="auto"/>
        <w:bottom w:val="none" w:sz="0" w:space="0" w:color="auto"/>
        <w:right w:val="none" w:sz="0" w:space="0" w:color="auto"/>
      </w:divBdr>
    </w:div>
    <w:div w:id="1009522826">
      <w:bodyDiv w:val="1"/>
      <w:marLeft w:val="0"/>
      <w:marRight w:val="0"/>
      <w:marTop w:val="0"/>
      <w:marBottom w:val="0"/>
      <w:divBdr>
        <w:top w:val="none" w:sz="0" w:space="0" w:color="auto"/>
        <w:left w:val="none" w:sz="0" w:space="0" w:color="auto"/>
        <w:bottom w:val="none" w:sz="0" w:space="0" w:color="auto"/>
        <w:right w:val="none" w:sz="0" w:space="0" w:color="auto"/>
      </w:divBdr>
    </w:div>
    <w:div w:id="13276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E74F-6A80-41A9-A983-32E300B0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Mukherjee, Amit</dc:creator>
  <cp:keywords/>
  <dc:description/>
  <cp:lastModifiedBy>Criscione, Noel</cp:lastModifiedBy>
  <cp:revision>3</cp:revision>
  <dcterms:created xsi:type="dcterms:W3CDTF">2019-08-31T13:24:00Z</dcterms:created>
  <dcterms:modified xsi:type="dcterms:W3CDTF">2019-08-31T14:12:00Z</dcterms:modified>
</cp:coreProperties>
</file>