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26FCC7" w14:textId="77777777" w:rsidR="007A5E01" w:rsidRDefault="007A5E01" w:rsidP="007A5E01"/>
    <w:p w14:paraId="73D41865" w14:textId="77777777" w:rsidR="0089767E" w:rsidRPr="00670396" w:rsidRDefault="0089767E" w:rsidP="000E09E8">
      <w:pPr>
        <w:pStyle w:val="ListParagraph"/>
        <w:jc w:val="both"/>
        <w:rPr>
          <w:rFonts w:ascii="Times New Roman" w:eastAsia="Times New Roman" w:hAnsi="Times New Roman"/>
        </w:rPr>
      </w:pPr>
    </w:p>
    <w:p w14:paraId="4ABC3B5D" w14:textId="1B425EF1" w:rsidR="00400D06" w:rsidRPr="00400D06" w:rsidRDefault="00400D06" w:rsidP="000E09E8">
      <w:pPr>
        <w:spacing w:line="480" w:lineRule="auto"/>
        <w:rPr>
          <w:rFonts w:ascii="Times New Roman" w:eastAsia="Times New Roman" w:hAnsi="Times New Roman"/>
          <w:b/>
        </w:rPr>
      </w:pPr>
      <w:r w:rsidRPr="00400D06">
        <w:rPr>
          <w:rFonts w:ascii="Times New Roman" w:eastAsia="Times New Roman" w:hAnsi="Times New Roman"/>
          <w:b/>
        </w:rPr>
        <w:t>The Effect of Venture Capital Backing on Companies’ Subsequent Lobbying Efforts</w:t>
      </w:r>
    </w:p>
    <w:p w14:paraId="44D2FE70" w14:textId="77777777" w:rsidR="00400D06" w:rsidRPr="002E70A2" w:rsidRDefault="00400D06" w:rsidP="00400D06">
      <w:pPr>
        <w:spacing w:line="480" w:lineRule="auto"/>
        <w:rPr>
          <w:rFonts w:ascii="Times New Roman" w:eastAsia="Times New Roman" w:hAnsi="Times New Roman"/>
          <w:b/>
        </w:rPr>
      </w:pPr>
    </w:p>
    <w:p w14:paraId="6D77F69C" w14:textId="77777777" w:rsidR="00400D06" w:rsidRPr="009C3510" w:rsidRDefault="00400D06" w:rsidP="00400D06">
      <w:pPr>
        <w:spacing w:line="480" w:lineRule="auto"/>
        <w:rPr>
          <w:rFonts w:ascii="Times New Roman" w:eastAsia="Times New Roman" w:hAnsi="Times New Roman"/>
          <w:b/>
        </w:rPr>
      </w:pPr>
      <w:r w:rsidRPr="002E70A2">
        <w:rPr>
          <w:rFonts w:ascii="Times New Roman" w:eastAsia="Times New Roman" w:hAnsi="Times New Roman"/>
        </w:rPr>
        <w:t xml:space="preserve"> </w:t>
      </w:r>
    </w:p>
    <w:p w14:paraId="2E3CBC67" w14:textId="77777777" w:rsidR="00400D06" w:rsidRPr="009C3510" w:rsidRDefault="00400D06" w:rsidP="00400D06">
      <w:pPr>
        <w:spacing w:line="480" w:lineRule="auto"/>
        <w:rPr>
          <w:rFonts w:ascii="Times New Roman" w:eastAsia="Times New Roman" w:hAnsi="Times New Roman"/>
          <w:b/>
        </w:rPr>
      </w:pPr>
    </w:p>
    <w:p w14:paraId="6B148D76" w14:textId="77777777" w:rsidR="00400D06" w:rsidRPr="009C3510" w:rsidRDefault="00400D06" w:rsidP="00400D06">
      <w:pPr>
        <w:spacing w:line="480" w:lineRule="auto"/>
        <w:rPr>
          <w:rFonts w:ascii="Times New Roman" w:eastAsia="Times New Roman" w:hAnsi="Times New Roman"/>
          <w:b/>
          <w:smallCaps/>
        </w:rPr>
      </w:pPr>
    </w:p>
    <w:p w14:paraId="0E83E41A" w14:textId="77777777" w:rsidR="00400D06" w:rsidRPr="009C3510" w:rsidRDefault="00400D06" w:rsidP="00400D06">
      <w:pPr>
        <w:spacing w:line="480" w:lineRule="auto"/>
        <w:jc w:val="center"/>
        <w:rPr>
          <w:rFonts w:ascii="Times New Roman" w:eastAsia="Times New Roman" w:hAnsi="Times New Roman"/>
          <w:b/>
        </w:rPr>
      </w:pPr>
      <w:r w:rsidRPr="009C3510">
        <w:rPr>
          <w:rFonts w:ascii="Times New Roman" w:eastAsia="Times New Roman" w:hAnsi="Times New Roman"/>
          <w:b/>
          <w:smallCaps/>
        </w:rPr>
        <w:t>Abstract</w:t>
      </w:r>
    </w:p>
    <w:p w14:paraId="74D27336" w14:textId="77777777" w:rsidR="00400D06" w:rsidRPr="009C3510" w:rsidRDefault="00400D06" w:rsidP="00400D06">
      <w:pPr>
        <w:spacing w:line="480" w:lineRule="auto"/>
        <w:rPr>
          <w:rFonts w:ascii="Times New Roman" w:eastAsia="Times New Roman" w:hAnsi="Times New Roman"/>
          <w:b/>
        </w:rPr>
      </w:pPr>
    </w:p>
    <w:p w14:paraId="3C0137B6" w14:textId="209566BD" w:rsidR="00400D06" w:rsidRPr="00400D06" w:rsidRDefault="00400D06" w:rsidP="00670396">
      <w:pPr>
        <w:spacing w:line="480" w:lineRule="auto"/>
        <w:ind w:left="720" w:right="720"/>
        <w:jc w:val="both"/>
        <w:rPr>
          <w:rFonts w:ascii="Times New Roman" w:eastAsia="Times New Roman" w:hAnsi="Times New Roman"/>
        </w:rPr>
      </w:pPr>
      <w:r w:rsidRPr="00400D06">
        <w:rPr>
          <w:rFonts w:ascii="Times New Roman" w:eastAsia="Times New Roman" w:hAnsi="Times New Roman"/>
        </w:rPr>
        <w:t>We explore non-market strategie</w:t>
      </w:r>
      <w:r w:rsidR="00520BC6">
        <w:rPr>
          <w:rFonts w:ascii="Times New Roman" w:eastAsia="Times New Roman" w:hAnsi="Times New Roman"/>
        </w:rPr>
        <w:t>s of venture capital backed companie</w:t>
      </w:r>
      <w:r w:rsidRPr="00400D06">
        <w:rPr>
          <w:rFonts w:ascii="Times New Roman" w:eastAsia="Times New Roman" w:hAnsi="Times New Roman"/>
        </w:rPr>
        <w:t>s. Based on the resource dependence perspective, we examine how venture</w:t>
      </w:r>
      <w:r w:rsidR="00733532">
        <w:rPr>
          <w:rFonts w:ascii="Times New Roman" w:eastAsia="Times New Roman" w:hAnsi="Times New Roman"/>
        </w:rPr>
        <w:t xml:space="preserve"> capital backing influences companie</w:t>
      </w:r>
      <w:r w:rsidRPr="00400D06">
        <w:rPr>
          <w:rFonts w:ascii="Times New Roman" w:eastAsia="Times New Roman" w:hAnsi="Times New Roman"/>
        </w:rPr>
        <w:t xml:space="preserve">s’ lobbying investments. We find that </w:t>
      </w:r>
      <w:r w:rsidR="00733532">
        <w:rPr>
          <w:rFonts w:ascii="Times New Roman" w:eastAsia="Times New Roman" w:hAnsi="Times New Roman"/>
        </w:rPr>
        <w:t xml:space="preserve">on average, </w:t>
      </w:r>
      <w:r w:rsidRPr="00400D06">
        <w:rPr>
          <w:rFonts w:ascii="Times New Roman" w:eastAsia="Times New Roman" w:hAnsi="Times New Roman"/>
        </w:rPr>
        <w:t>venture capital</w:t>
      </w:r>
      <w:r w:rsidR="00FD7A1B">
        <w:rPr>
          <w:rFonts w:ascii="Times New Roman" w:eastAsia="Times New Roman" w:hAnsi="Times New Roman"/>
        </w:rPr>
        <w:t xml:space="preserve"> backing negatively affects companie</w:t>
      </w:r>
      <w:r w:rsidRPr="00400D06">
        <w:rPr>
          <w:rFonts w:ascii="Times New Roman" w:eastAsia="Times New Roman" w:hAnsi="Times New Roman"/>
        </w:rPr>
        <w:t xml:space="preserve">s’ lobbying investments. </w:t>
      </w:r>
      <w:r w:rsidR="00733532">
        <w:rPr>
          <w:rFonts w:ascii="Times New Roman" w:eastAsia="Times New Roman" w:hAnsi="Times New Roman"/>
        </w:rPr>
        <w:t>However, w</w:t>
      </w:r>
      <w:r w:rsidRPr="00400D06">
        <w:rPr>
          <w:rFonts w:ascii="Times New Roman" w:eastAsia="Times New Roman" w:hAnsi="Times New Roman"/>
        </w:rPr>
        <w:t xml:space="preserve">e also find that R&amp;D investments moderates </w:t>
      </w:r>
      <w:r w:rsidR="00733532">
        <w:rPr>
          <w:rFonts w:ascii="Times New Roman" w:eastAsia="Times New Roman" w:hAnsi="Times New Roman"/>
        </w:rPr>
        <w:t>this</w:t>
      </w:r>
      <w:r w:rsidRPr="00400D06">
        <w:rPr>
          <w:rFonts w:ascii="Times New Roman" w:eastAsia="Times New Roman" w:hAnsi="Times New Roman"/>
        </w:rPr>
        <w:t xml:space="preserve"> relationship and </w:t>
      </w:r>
      <w:r w:rsidR="00733532">
        <w:rPr>
          <w:rFonts w:ascii="Times New Roman" w:eastAsia="Times New Roman" w:hAnsi="Times New Roman"/>
        </w:rPr>
        <w:t xml:space="preserve">companies increase their </w:t>
      </w:r>
      <w:r w:rsidRPr="00400D06">
        <w:rPr>
          <w:rFonts w:ascii="Times New Roman" w:eastAsia="Times New Roman" w:hAnsi="Times New Roman"/>
        </w:rPr>
        <w:t>lobbying investments</w:t>
      </w:r>
      <w:r w:rsidR="00733532">
        <w:rPr>
          <w:rFonts w:ascii="Times New Roman" w:eastAsia="Times New Roman" w:hAnsi="Times New Roman"/>
        </w:rPr>
        <w:t xml:space="preserve"> as they invest more on R&amp;D</w:t>
      </w:r>
      <w:r w:rsidRPr="00400D06">
        <w:rPr>
          <w:rFonts w:ascii="Times New Roman" w:eastAsia="Times New Roman" w:hAnsi="Times New Roman"/>
        </w:rPr>
        <w:t xml:space="preserve">. Our results provide insights for </w:t>
      </w:r>
      <w:r w:rsidR="006D68FF">
        <w:rPr>
          <w:rFonts w:ascii="Times New Roman" w:eastAsia="Times New Roman" w:hAnsi="Times New Roman"/>
        </w:rPr>
        <w:t xml:space="preserve">the research on </w:t>
      </w:r>
      <w:r w:rsidRPr="00400D06">
        <w:rPr>
          <w:rFonts w:ascii="Times New Roman" w:eastAsia="Times New Roman" w:hAnsi="Times New Roman"/>
        </w:rPr>
        <w:t xml:space="preserve">venture capital backing </w:t>
      </w:r>
      <w:r w:rsidR="00B1587D">
        <w:rPr>
          <w:rFonts w:ascii="Times New Roman" w:eastAsia="Times New Roman" w:hAnsi="Times New Roman"/>
        </w:rPr>
        <w:t>and non-market strategies</w:t>
      </w:r>
      <w:r w:rsidRPr="00400D06">
        <w:rPr>
          <w:rFonts w:ascii="Times New Roman" w:eastAsia="Times New Roman" w:hAnsi="Times New Roman"/>
        </w:rPr>
        <w:t xml:space="preserve">. </w:t>
      </w:r>
    </w:p>
    <w:p w14:paraId="78A50D22" w14:textId="77777777" w:rsidR="00400D06" w:rsidRDefault="00400D06" w:rsidP="00400D06">
      <w:pPr>
        <w:spacing w:line="480" w:lineRule="auto"/>
        <w:ind w:left="720" w:right="720"/>
        <w:rPr>
          <w:rFonts w:ascii="Times New Roman" w:eastAsia="Times New Roman" w:hAnsi="Times New Roman"/>
          <w:b/>
        </w:rPr>
      </w:pPr>
    </w:p>
    <w:p w14:paraId="6EF5CCFB" w14:textId="77777777" w:rsidR="00400D06" w:rsidRDefault="00400D06" w:rsidP="00400D06">
      <w:pPr>
        <w:spacing w:line="480" w:lineRule="auto"/>
        <w:ind w:right="720"/>
        <w:rPr>
          <w:rFonts w:ascii="Times New Roman" w:eastAsia="Times New Roman" w:hAnsi="Times New Roman"/>
        </w:rPr>
      </w:pPr>
    </w:p>
    <w:p w14:paraId="66C5AE4B" w14:textId="77777777" w:rsidR="00400D06" w:rsidRDefault="00400D06" w:rsidP="00400D06">
      <w:pPr>
        <w:spacing w:line="480" w:lineRule="auto"/>
        <w:ind w:right="720"/>
        <w:rPr>
          <w:rFonts w:ascii="Times New Roman" w:eastAsia="Times New Roman" w:hAnsi="Times New Roman"/>
        </w:rPr>
      </w:pPr>
    </w:p>
    <w:p w14:paraId="48BC6FDA" w14:textId="77777777" w:rsidR="00400D06" w:rsidRDefault="00400D06" w:rsidP="00400D06">
      <w:pPr>
        <w:spacing w:line="480" w:lineRule="auto"/>
        <w:ind w:right="720"/>
        <w:rPr>
          <w:rFonts w:ascii="Times New Roman" w:eastAsia="Times New Roman" w:hAnsi="Times New Roman"/>
        </w:rPr>
      </w:pPr>
    </w:p>
    <w:p w14:paraId="47A03E6A" w14:textId="77777777" w:rsidR="00400D06" w:rsidRPr="002E70A2" w:rsidRDefault="00400D06" w:rsidP="00B27FEF">
      <w:pPr>
        <w:spacing w:line="480" w:lineRule="auto"/>
        <w:ind w:right="720"/>
        <w:rPr>
          <w:rFonts w:ascii="Times New Roman" w:eastAsia="Times New Roman" w:hAnsi="Times New Roman"/>
          <w:b/>
        </w:rPr>
      </w:pPr>
    </w:p>
    <w:p w14:paraId="69874B1D" w14:textId="5D8AFEE8" w:rsidR="00400D06" w:rsidRPr="002E70A2" w:rsidRDefault="00400D06" w:rsidP="00400D06">
      <w:pPr>
        <w:spacing w:line="480" w:lineRule="auto"/>
        <w:ind w:left="720"/>
        <w:rPr>
          <w:rFonts w:ascii="Times New Roman" w:eastAsia="Times New Roman" w:hAnsi="Times New Roman"/>
          <w:bCs/>
        </w:rPr>
      </w:pPr>
      <w:r w:rsidRPr="002E70A2">
        <w:rPr>
          <w:rFonts w:ascii="Times New Roman" w:eastAsia="Times New Roman" w:hAnsi="Times New Roman"/>
          <w:bCs/>
        </w:rPr>
        <w:t xml:space="preserve">Keywords: venture capital, corporate </w:t>
      </w:r>
      <w:r>
        <w:rPr>
          <w:rFonts w:ascii="Times New Roman" w:eastAsia="Times New Roman" w:hAnsi="Times New Roman"/>
          <w:bCs/>
        </w:rPr>
        <w:t>lobbying</w:t>
      </w:r>
      <w:r w:rsidRPr="002E70A2">
        <w:rPr>
          <w:rFonts w:ascii="Times New Roman" w:eastAsia="Times New Roman" w:hAnsi="Times New Roman"/>
          <w:bCs/>
        </w:rPr>
        <w:t>, resource dependency, ownership structure.</w:t>
      </w:r>
    </w:p>
    <w:p w14:paraId="26B6667F" w14:textId="77777777" w:rsidR="0047476C" w:rsidRPr="007A5E01" w:rsidRDefault="0047476C">
      <w:pPr>
        <w:rPr>
          <w:rFonts w:ascii="Times New Roman" w:hAnsi="Times New Roman" w:cs="Times New Roman"/>
          <w:b/>
        </w:rPr>
      </w:pPr>
    </w:p>
    <w:p w14:paraId="3E86CBB6" w14:textId="77777777" w:rsidR="0047476C" w:rsidRPr="007A5E01" w:rsidRDefault="0047476C" w:rsidP="004E7B01">
      <w:pPr>
        <w:spacing w:line="480" w:lineRule="auto"/>
        <w:rPr>
          <w:rFonts w:ascii="Times New Roman" w:hAnsi="Times New Roman" w:cs="Times New Roman"/>
          <w:b/>
        </w:rPr>
      </w:pPr>
      <w:r w:rsidRPr="007A5E01">
        <w:rPr>
          <w:rFonts w:ascii="Times New Roman" w:hAnsi="Times New Roman" w:cs="Times New Roman"/>
          <w:b/>
        </w:rPr>
        <w:t>Introduction</w:t>
      </w:r>
    </w:p>
    <w:p w14:paraId="63B65065" w14:textId="14640753" w:rsidR="00416906" w:rsidRPr="007A5E01" w:rsidRDefault="00025757" w:rsidP="004E7B01">
      <w:pPr>
        <w:spacing w:line="480" w:lineRule="auto"/>
        <w:rPr>
          <w:rFonts w:ascii="Times New Roman" w:hAnsi="Times New Roman" w:cs="Times New Roman"/>
        </w:rPr>
      </w:pPr>
      <w:r w:rsidRPr="007A5E01">
        <w:rPr>
          <w:rFonts w:ascii="Times New Roman" w:hAnsi="Times New Roman" w:cs="Times New Roman"/>
        </w:rPr>
        <w:t>Venture capital</w:t>
      </w:r>
      <w:r w:rsidR="0088651A">
        <w:rPr>
          <w:rFonts w:ascii="Times New Roman" w:hAnsi="Times New Roman" w:cs="Times New Roman"/>
        </w:rPr>
        <w:t xml:space="preserve"> (VC)</w:t>
      </w:r>
      <w:r w:rsidRPr="007A5E01">
        <w:rPr>
          <w:rFonts w:ascii="Times New Roman" w:hAnsi="Times New Roman" w:cs="Times New Roman"/>
        </w:rPr>
        <w:t xml:space="preserve"> </w:t>
      </w:r>
      <w:r w:rsidR="000F77F2" w:rsidRPr="007A5E01">
        <w:rPr>
          <w:rFonts w:ascii="Times New Roman" w:hAnsi="Times New Roman" w:cs="Times New Roman"/>
        </w:rPr>
        <w:t>industry is</w:t>
      </w:r>
      <w:r w:rsidRPr="007A5E01">
        <w:rPr>
          <w:rFonts w:ascii="Times New Roman" w:hAnsi="Times New Roman" w:cs="Times New Roman"/>
        </w:rPr>
        <w:t xml:space="preserve"> an important source of innovation (</w:t>
      </w:r>
      <w:r w:rsidR="00AF1495" w:rsidRPr="007A5E01">
        <w:rPr>
          <w:rFonts w:ascii="Times New Roman" w:hAnsi="Times New Roman" w:cs="Times New Roman"/>
        </w:rPr>
        <w:t>Kortum &amp; Lerner, 2000</w:t>
      </w:r>
      <w:r w:rsidRPr="00400D06">
        <w:rPr>
          <w:rFonts w:ascii="Times New Roman" w:hAnsi="Times New Roman" w:cs="Times New Roman"/>
        </w:rPr>
        <w:t xml:space="preserve">). </w:t>
      </w:r>
      <w:r w:rsidR="00A709CF" w:rsidRPr="00400D06">
        <w:rPr>
          <w:rFonts w:ascii="Times New Roman" w:hAnsi="Times New Roman" w:cs="Times New Roman"/>
        </w:rPr>
        <w:t xml:space="preserve">In recent years, there has been a significant increase </w:t>
      </w:r>
      <w:r w:rsidR="00A8064E" w:rsidRPr="00400D06">
        <w:rPr>
          <w:rFonts w:ascii="Times New Roman" w:hAnsi="Times New Roman" w:cs="Times New Roman"/>
        </w:rPr>
        <w:t>in the use of venture capital</w:t>
      </w:r>
      <w:r w:rsidR="00B1587D">
        <w:rPr>
          <w:rFonts w:ascii="Times New Roman" w:hAnsi="Times New Roman" w:cs="Times New Roman"/>
        </w:rPr>
        <w:t xml:space="preserve"> </w:t>
      </w:r>
      <w:r w:rsidR="00157147" w:rsidRPr="00400D06">
        <w:rPr>
          <w:rFonts w:ascii="Times New Roman" w:hAnsi="Times New Roman" w:cs="Times New Roman"/>
        </w:rPr>
        <w:t xml:space="preserve">(VC) </w:t>
      </w:r>
      <w:r w:rsidR="00A709CF" w:rsidRPr="002C127D">
        <w:rPr>
          <w:rFonts w:ascii="Times New Roman" w:hAnsi="Times New Roman" w:cs="Times New Roman"/>
        </w:rPr>
        <w:t xml:space="preserve">to promote innovative ideas and products in high technology and high growth sectors of the economy such as information technology, life sciences, and clean energy technologies (Da Rin, Hellmann, &amp; Puri, 2013). </w:t>
      </w:r>
      <w:r w:rsidR="001E1427" w:rsidRPr="000E33A5">
        <w:rPr>
          <w:rFonts w:ascii="Times New Roman" w:hAnsi="Times New Roman" w:cs="Times New Roman"/>
        </w:rPr>
        <w:t xml:space="preserve">The underlying premise is that </w:t>
      </w:r>
      <w:r w:rsidR="00B66ECC" w:rsidRPr="000E33A5">
        <w:rPr>
          <w:rFonts w:ascii="Times New Roman" w:hAnsi="Times New Roman" w:cs="Times New Roman"/>
        </w:rPr>
        <w:t xml:space="preserve">venture capitalists launch a dedicated fund to entrepreneurial ventures in </w:t>
      </w:r>
      <w:r w:rsidR="00B66ECC" w:rsidRPr="007A5E01">
        <w:rPr>
          <w:rFonts w:ascii="Times New Roman" w:hAnsi="Times New Roman" w:cs="Times New Roman"/>
        </w:rPr>
        <w:t xml:space="preserve">sectors </w:t>
      </w:r>
      <w:r w:rsidR="000F77F2" w:rsidRPr="007A5E01">
        <w:rPr>
          <w:rFonts w:ascii="Times New Roman" w:hAnsi="Times New Roman" w:cs="Times New Roman"/>
        </w:rPr>
        <w:t xml:space="preserve">that </w:t>
      </w:r>
      <w:r w:rsidR="00B66ECC" w:rsidRPr="007A5E01">
        <w:rPr>
          <w:rFonts w:ascii="Times New Roman" w:hAnsi="Times New Roman" w:cs="Times New Roman"/>
        </w:rPr>
        <w:t>fac</w:t>
      </w:r>
      <w:r w:rsidR="000F77F2" w:rsidRPr="007A5E01">
        <w:rPr>
          <w:rFonts w:ascii="Times New Roman" w:hAnsi="Times New Roman" w:cs="Times New Roman"/>
        </w:rPr>
        <w:t>e</w:t>
      </w:r>
      <w:r w:rsidR="00B66ECC" w:rsidRPr="007A5E01">
        <w:rPr>
          <w:rFonts w:ascii="Times New Roman" w:hAnsi="Times New Roman" w:cs="Times New Roman"/>
        </w:rPr>
        <w:t xml:space="preserve"> substantial risk</w:t>
      </w:r>
      <w:r w:rsidR="002D2975" w:rsidRPr="007A5E01">
        <w:rPr>
          <w:rFonts w:ascii="Times New Roman" w:hAnsi="Times New Roman" w:cs="Times New Roman"/>
        </w:rPr>
        <w:t xml:space="preserve">, uncertainty and market potential </w:t>
      </w:r>
      <w:r w:rsidR="00B66ECC" w:rsidRPr="007A5E01">
        <w:rPr>
          <w:rFonts w:ascii="Times New Roman" w:hAnsi="Times New Roman" w:cs="Times New Roman"/>
        </w:rPr>
        <w:t>and</w:t>
      </w:r>
      <w:r w:rsidR="000F77F2" w:rsidRPr="007A5E01">
        <w:rPr>
          <w:rFonts w:ascii="Times New Roman" w:hAnsi="Times New Roman" w:cs="Times New Roman"/>
        </w:rPr>
        <w:t xml:space="preserve"> in return</w:t>
      </w:r>
      <w:r w:rsidR="00B66ECC" w:rsidRPr="007A5E01">
        <w:rPr>
          <w:rFonts w:ascii="Times New Roman" w:hAnsi="Times New Roman" w:cs="Times New Roman"/>
        </w:rPr>
        <w:t xml:space="preserve"> expect </w:t>
      </w:r>
      <w:r w:rsidR="002D2975" w:rsidRPr="007A5E01">
        <w:rPr>
          <w:rFonts w:ascii="Times New Roman" w:hAnsi="Times New Roman" w:cs="Times New Roman"/>
        </w:rPr>
        <w:t xml:space="preserve">high </w:t>
      </w:r>
      <w:r w:rsidR="00B66ECC" w:rsidRPr="007A5E01">
        <w:rPr>
          <w:rFonts w:ascii="Times New Roman" w:hAnsi="Times New Roman" w:cs="Times New Roman"/>
        </w:rPr>
        <w:t xml:space="preserve">financial returns from </w:t>
      </w:r>
      <w:r w:rsidR="002D2975" w:rsidRPr="007A5E01">
        <w:rPr>
          <w:rFonts w:ascii="Times New Roman" w:hAnsi="Times New Roman" w:cs="Times New Roman"/>
        </w:rPr>
        <w:t xml:space="preserve">such </w:t>
      </w:r>
      <w:r w:rsidR="00B66ECC" w:rsidRPr="007A5E01">
        <w:rPr>
          <w:rFonts w:ascii="Times New Roman" w:hAnsi="Times New Roman" w:cs="Times New Roman"/>
        </w:rPr>
        <w:t xml:space="preserve">investments (Alvarez-Garrido &amp; Dushnitsky, 2016). </w:t>
      </w:r>
      <w:r w:rsidR="00EB6403" w:rsidRPr="007A5E01">
        <w:rPr>
          <w:rFonts w:ascii="Times New Roman" w:hAnsi="Times New Roman" w:cs="Times New Roman"/>
        </w:rPr>
        <w:t>V</w:t>
      </w:r>
      <w:r w:rsidR="00157147" w:rsidRPr="007A5E01">
        <w:rPr>
          <w:rFonts w:ascii="Times New Roman" w:hAnsi="Times New Roman" w:cs="Times New Roman"/>
        </w:rPr>
        <w:t xml:space="preserve">C </w:t>
      </w:r>
      <w:r w:rsidR="002D2975" w:rsidRPr="007A5E01">
        <w:rPr>
          <w:rFonts w:ascii="Times New Roman" w:hAnsi="Times New Roman" w:cs="Times New Roman"/>
        </w:rPr>
        <w:t xml:space="preserve">funding </w:t>
      </w:r>
      <w:r w:rsidR="00EB6403" w:rsidRPr="007A5E01">
        <w:rPr>
          <w:rFonts w:ascii="Times New Roman" w:hAnsi="Times New Roman" w:cs="Times New Roman"/>
        </w:rPr>
        <w:t>is therefore an attractive option</w:t>
      </w:r>
      <w:r w:rsidR="002D2975" w:rsidRPr="007A5E01">
        <w:rPr>
          <w:rFonts w:ascii="Times New Roman" w:hAnsi="Times New Roman" w:cs="Times New Roman"/>
        </w:rPr>
        <w:t xml:space="preserve"> for </w:t>
      </w:r>
      <w:r w:rsidR="00A55573" w:rsidRPr="007A5E01">
        <w:rPr>
          <w:rFonts w:ascii="Times New Roman" w:hAnsi="Times New Roman" w:cs="Times New Roman"/>
        </w:rPr>
        <w:t>entrepreneurial</w:t>
      </w:r>
      <w:r w:rsidR="00EB6403" w:rsidRPr="007A5E01">
        <w:rPr>
          <w:rFonts w:ascii="Times New Roman" w:hAnsi="Times New Roman" w:cs="Times New Roman"/>
        </w:rPr>
        <w:t xml:space="preserve"> ventures </w:t>
      </w:r>
      <w:r w:rsidR="002D2975" w:rsidRPr="007A5E01">
        <w:rPr>
          <w:rFonts w:ascii="Times New Roman" w:hAnsi="Times New Roman" w:cs="Times New Roman"/>
        </w:rPr>
        <w:t xml:space="preserve">that </w:t>
      </w:r>
      <w:r w:rsidR="00EB6403" w:rsidRPr="007A5E01">
        <w:rPr>
          <w:rFonts w:ascii="Times New Roman" w:hAnsi="Times New Roman" w:cs="Times New Roman"/>
        </w:rPr>
        <w:t xml:space="preserve">possess innovative ideas but need both financial and other resources </w:t>
      </w:r>
      <w:r w:rsidR="00A55573" w:rsidRPr="007A5E01">
        <w:rPr>
          <w:rFonts w:ascii="Times New Roman" w:hAnsi="Times New Roman" w:cs="Times New Roman"/>
        </w:rPr>
        <w:t xml:space="preserve">to commercialize </w:t>
      </w:r>
      <w:r w:rsidR="002D2975" w:rsidRPr="007A5E01">
        <w:rPr>
          <w:rFonts w:ascii="Times New Roman" w:hAnsi="Times New Roman" w:cs="Times New Roman"/>
        </w:rPr>
        <w:t>them</w:t>
      </w:r>
      <w:r w:rsidR="00A55573" w:rsidRPr="007A5E01">
        <w:rPr>
          <w:rFonts w:ascii="Times New Roman" w:hAnsi="Times New Roman" w:cs="Times New Roman"/>
        </w:rPr>
        <w:t xml:space="preserve">. </w:t>
      </w:r>
    </w:p>
    <w:p w14:paraId="55553BBC" w14:textId="77777777" w:rsidR="00B1587D" w:rsidRDefault="0068746D" w:rsidP="004E7B01">
      <w:pPr>
        <w:spacing w:line="480" w:lineRule="auto"/>
        <w:rPr>
          <w:rFonts w:ascii="Times New Roman" w:hAnsi="Times New Roman" w:cs="Times New Roman"/>
        </w:rPr>
      </w:pPr>
      <w:r w:rsidRPr="007A5E01">
        <w:rPr>
          <w:rFonts w:ascii="Times New Roman" w:hAnsi="Times New Roman" w:cs="Times New Roman"/>
        </w:rPr>
        <w:tab/>
        <w:t xml:space="preserve">A stream of research has addressed the </w:t>
      </w:r>
      <w:r w:rsidR="00AA5E2D" w:rsidRPr="007A5E01">
        <w:rPr>
          <w:rFonts w:ascii="Times New Roman" w:hAnsi="Times New Roman" w:cs="Times New Roman"/>
        </w:rPr>
        <w:t xml:space="preserve">innovation </w:t>
      </w:r>
      <w:r w:rsidRPr="007A5E01">
        <w:rPr>
          <w:rFonts w:ascii="Times New Roman" w:hAnsi="Times New Roman" w:cs="Times New Roman"/>
        </w:rPr>
        <w:t>outcomes of</w:t>
      </w:r>
      <w:r w:rsidR="002D2975" w:rsidRPr="007A5E01">
        <w:rPr>
          <w:rFonts w:ascii="Times New Roman" w:hAnsi="Times New Roman" w:cs="Times New Roman"/>
        </w:rPr>
        <w:t xml:space="preserve"> the</w:t>
      </w:r>
      <w:r w:rsidRPr="007A5E01">
        <w:rPr>
          <w:rFonts w:ascii="Times New Roman" w:hAnsi="Times New Roman" w:cs="Times New Roman"/>
        </w:rPr>
        <w:t xml:space="preserve"> </w:t>
      </w:r>
      <w:r w:rsidR="00157147" w:rsidRPr="007A5E01">
        <w:rPr>
          <w:rFonts w:ascii="Times New Roman" w:hAnsi="Times New Roman" w:cs="Times New Roman"/>
        </w:rPr>
        <w:t>VC</w:t>
      </w:r>
      <w:r w:rsidR="00BC6846" w:rsidRPr="007A5E01">
        <w:rPr>
          <w:rFonts w:ascii="Times New Roman" w:hAnsi="Times New Roman" w:cs="Times New Roman"/>
        </w:rPr>
        <w:t xml:space="preserve"> </w:t>
      </w:r>
      <w:r w:rsidR="002D2975" w:rsidRPr="007A5E01">
        <w:rPr>
          <w:rFonts w:ascii="Times New Roman" w:hAnsi="Times New Roman" w:cs="Times New Roman"/>
        </w:rPr>
        <w:t xml:space="preserve">industry </w:t>
      </w:r>
      <w:r w:rsidR="00BC6846" w:rsidRPr="007A5E01">
        <w:rPr>
          <w:rFonts w:ascii="Times New Roman" w:hAnsi="Times New Roman" w:cs="Times New Roman"/>
        </w:rPr>
        <w:t>such as patenting (</w:t>
      </w:r>
      <w:r w:rsidR="00AA5E2D" w:rsidRPr="007A5E01">
        <w:rPr>
          <w:rFonts w:ascii="Times New Roman" w:hAnsi="Times New Roman" w:cs="Times New Roman"/>
        </w:rPr>
        <w:t xml:space="preserve">Ahuja &amp; Katila, 2001; Dutta &amp; Folta, 2016; </w:t>
      </w:r>
      <w:r w:rsidR="00BC6846" w:rsidRPr="007A5E01">
        <w:rPr>
          <w:rFonts w:ascii="Times New Roman" w:hAnsi="Times New Roman" w:cs="Times New Roman"/>
        </w:rPr>
        <w:t xml:space="preserve">Kortum &amp; Lerner, 2000), </w:t>
      </w:r>
      <w:r w:rsidR="00AA5E2D" w:rsidRPr="007A5E01">
        <w:rPr>
          <w:rFonts w:ascii="Times New Roman" w:hAnsi="Times New Roman" w:cs="Times New Roman"/>
        </w:rPr>
        <w:t xml:space="preserve">publication (Alvarez-Garrido &amp; Dushnitsky, 2016), </w:t>
      </w:r>
      <w:r w:rsidR="00157147" w:rsidRPr="007A5E01">
        <w:rPr>
          <w:rFonts w:ascii="Times New Roman" w:hAnsi="Times New Roman" w:cs="Times New Roman"/>
        </w:rPr>
        <w:t xml:space="preserve">and </w:t>
      </w:r>
      <w:r w:rsidR="00AA5E2D" w:rsidRPr="007A5E01">
        <w:rPr>
          <w:rFonts w:ascii="Times New Roman" w:hAnsi="Times New Roman" w:cs="Times New Roman"/>
        </w:rPr>
        <w:t xml:space="preserve">the exit outcomes </w:t>
      </w:r>
      <w:r w:rsidR="002D2975" w:rsidRPr="007A5E01">
        <w:rPr>
          <w:rFonts w:ascii="Times New Roman" w:hAnsi="Times New Roman" w:cs="Times New Roman"/>
        </w:rPr>
        <w:t xml:space="preserve">of their portfolio companies </w:t>
      </w:r>
      <w:r w:rsidR="00AA5E2D" w:rsidRPr="007A5E01">
        <w:rPr>
          <w:rFonts w:ascii="Times New Roman" w:hAnsi="Times New Roman" w:cs="Times New Roman"/>
        </w:rPr>
        <w:t>(Dutta &amp; Folta, 2016</w:t>
      </w:r>
      <w:r w:rsidR="00157147" w:rsidRPr="007A5E01">
        <w:rPr>
          <w:rFonts w:ascii="Times New Roman" w:hAnsi="Times New Roman" w:cs="Times New Roman"/>
        </w:rPr>
        <w:t>)</w:t>
      </w:r>
      <w:r w:rsidRPr="007A5E01">
        <w:rPr>
          <w:rFonts w:ascii="Times New Roman" w:hAnsi="Times New Roman" w:cs="Times New Roman"/>
        </w:rPr>
        <w:t xml:space="preserve">. </w:t>
      </w:r>
      <w:r w:rsidR="00157147" w:rsidRPr="007A5E01">
        <w:rPr>
          <w:rFonts w:ascii="Times New Roman" w:hAnsi="Times New Roman" w:cs="Times New Roman"/>
        </w:rPr>
        <w:t xml:space="preserve">Although prior research has identified market outcomes of </w:t>
      </w:r>
      <w:r w:rsidR="00A63506" w:rsidRPr="007A5E01">
        <w:rPr>
          <w:rFonts w:ascii="Times New Roman" w:hAnsi="Times New Roman" w:cs="Times New Roman"/>
        </w:rPr>
        <w:t>VC</w:t>
      </w:r>
      <w:r w:rsidR="002D2975" w:rsidRPr="007A5E01">
        <w:rPr>
          <w:rFonts w:ascii="Times New Roman" w:hAnsi="Times New Roman" w:cs="Times New Roman"/>
        </w:rPr>
        <w:t xml:space="preserve"> investments</w:t>
      </w:r>
      <w:r w:rsidR="00157147" w:rsidRPr="007A5E01">
        <w:rPr>
          <w:rFonts w:ascii="Times New Roman" w:hAnsi="Times New Roman" w:cs="Times New Roman"/>
        </w:rPr>
        <w:t>, we know little about the</w:t>
      </w:r>
      <w:r w:rsidR="002D2975" w:rsidRPr="007A5E01">
        <w:rPr>
          <w:rFonts w:ascii="Times New Roman" w:hAnsi="Times New Roman" w:cs="Times New Roman"/>
        </w:rPr>
        <w:t>ir</w:t>
      </w:r>
      <w:r w:rsidR="00157147" w:rsidRPr="007A5E01">
        <w:rPr>
          <w:rFonts w:ascii="Times New Roman" w:hAnsi="Times New Roman" w:cs="Times New Roman"/>
        </w:rPr>
        <w:t xml:space="preserve"> non</w:t>
      </w:r>
      <w:r w:rsidR="0042246A">
        <w:rPr>
          <w:rFonts w:ascii="Times New Roman" w:hAnsi="Times New Roman" w:cs="Times New Roman"/>
        </w:rPr>
        <w:t>-</w:t>
      </w:r>
      <w:r w:rsidR="00157147" w:rsidRPr="007A5E01">
        <w:rPr>
          <w:rFonts w:ascii="Times New Roman" w:hAnsi="Times New Roman" w:cs="Times New Roman"/>
        </w:rPr>
        <w:t xml:space="preserve">market </w:t>
      </w:r>
      <w:r w:rsidR="00B1587D">
        <w:rPr>
          <w:rFonts w:ascii="Times New Roman" w:hAnsi="Times New Roman" w:cs="Times New Roman"/>
        </w:rPr>
        <w:t>strategies</w:t>
      </w:r>
      <w:r w:rsidR="00157147" w:rsidRPr="007A5E01">
        <w:rPr>
          <w:rFonts w:ascii="Times New Roman" w:hAnsi="Times New Roman" w:cs="Times New Roman"/>
        </w:rPr>
        <w:t xml:space="preserve">. </w:t>
      </w:r>
      <w:r w:rsidR="00E83606" w:rsidRPr="007A5E01">
        <w:rPr>
          <w:rFonts w:ascii="Times New Roman" w:hAnsi="Times New Roman" w:cs="Times New Roman"/>
        </w:rPr>
        <w:t>The purpose of this paper is to advance our underst</w:t>
      </w:r>
      <w:r w:rsidR="00505B56">
        <w:rPr>
          <w:rFonts w:ascii="Times New Roman" w:hAnsi="Times New Roman" w:cs="Times New Roman"/>
        </w:rPr>
        <w:t>anding of VC influence</w:t>
      </w:r>
      <w:r w:rsidR="00E83606" w:rsidRPr="007A5E01">
        <w:rPr>
          <w:rFonts w:ascii="Times New Roman" w:hAnsi="Times New Roman" w:cs="Times New Roman"/>
        </w:rPr>
        <w:t xml:space="preserve"> from a non-market perspective. </w:t>
      </w:r>
    </w:p>
    <w:p w14:paraId="5C8C3BD9" w14:textId="41E16CD2" w:rsidR="0068746D" w:rsidRPr="007A5E01" w:rsidRDefault="00E83606" w:rsidP="004E7B01">
      <w:pPr>
        <w:spacing w:line="480" w:lineRule="auto"/>
        <w:ind w:firstLine="720"/>
        <w:rPr>
          <w:rFonts w:ascii="Times New Roman" w:hAnsi="Times New Roman" w:cs="Times New Roman"/>
        </w:rPr>
      </w:pPr>
      <w:r w:rsidRPr="007A5E01">
        <w:rPr>
          <w:rFonts w:ascii="Times New Roman" w:hAnsi="Times New Roman" w:cs="Times New Roman"/>
        </w:rPr>
        <w:t xml:space="preserve">We argue that it is important to consider VC in the context of policy uncertainty. </w:t>
      </w:r>
      <w:r w:rsidR="002D2975" w:rsidRPr="007A5E01">
        <w:rPr>
          <w:rFonts w:ascii="Times New Roman" w:hAnsi="Times New Roman" w:cs="Times New Roman"/>
        </w:rPr>
        <w:t xml:space="preserve">Given the fact that VC firms have a tendency to invest in sectors that are highly uncertain and underdeveloped, it </w:t>
      </w:r>
      <w:r w:rsidR="00246A6D" w:rsidRPr="007A5E01">
        <w:rPr>
          <w:rFonts w:ascii="Times New Roman" w:hAnsi="Times New Roman" w:cs="Times New Roman"/>
        </w:rPr>
        <w:t xml:space="preserve">is plausible to assume that venture capitalists would have the motivation to invest in political strategies to shape the future prospects of their investments.   </w:t>
      </w:r>
      <w:r w:rsidR="005B02B3" w:rsidRPr="007A5E01">
        <w:rPr>
          <w:rFonts w:ascii="Times New Roman" w:hAnsi="Times New Roman" w:cs="Times New Roman"/>
        </w:rPr>
        <w:t xml:space="preserve">According to Oliver and Holzinger (2008), companies that engage in </w:t>
      </w:r>
      <w:r w:rsidR="005B02B3" w:rsidRPr="007A5E01">
        <w:rPr>
          <w:rFonts w:ascii="Times New Roman" w:hAnsi="Times New Roman" w:cs="Times New Roman"/>
        </w:rPr>
        <w:lastRenderedPageBreak/>
        <w:t xml:space="preserve">political strategies achieve greater financial performance and competitive advantage. </w:t>
      </w:r>
      <w:r w:rsidRPr="007A5E01">
        <w:rPr>
          <w:rFonts w:ascii="Times New Roman" w:hAnsi="Times New Roman" w:cs="Times New Roman"/>
        </w:rPr>
        <w:t xml:space="preserve"> </w:t>
      </w:r>
      <w:r w:rsidR="00505B56">
        <w:rPr>
          <w:rFonts w:ascii="Times New Roman" w:hAnsi="Times New Roman" w:cs="Times New Roman"/>
        </w:rPr>
        <w:t>Drawing from</w:t>
      </w:r>
      <w:r w:rsidR="00A43056" w:rsidRPr="007A5E01">
        <w:rPr>
          <w:rFonts w:ascii="Times New Roman" w:hAnsi="Times New Roman" w:cs="Times New Roman"/>
        </w:rPr>
        <w:t xml:space="preserve"> the resource dependency theory (</w:t>
      </w:r>
      <w:r w:rsidR="00927884" w:rsidRPr="007A5E01">
        <w:rPr>
          <w:rFonts w:ascii="Times New Roman" w:hAnsi="Times New Roman" w:cs="Times New Roman"/>
        </w:rPr>
        <w:t>Pfeffer &amp; Salancik, 1978</w:t>
      </w:r>
      <w:r w:rsidR="00A43056" w:rsidRPr="007A5E01">
        <w:rPr>
          <w:rFonts w:ascii="Times New Roman" w:hAnsi="Times New Roman" w:cs="Times New Roman"/>
        </w:rPr>
        <w:t>)</w:t>
      </w:r>
      <w:r w:rsidR="006D21A7" w:rsidRPr="007A5E01">
        <w:rPr>
          <w:rFonts w:ascii="Times New Roman" w:hAnsi="Times New Roman" w:cs="Times New Roman"/>
        </w:rPr>
        <w:t>, we explore how VC-backed companies</w:t>
      </w:r>
      <w:r w:rsidR="00A43056" w:rsidRPr="007A5E01">
        <w:rPr>
          <w:rFonts w:ascii="Times New Roman" w:hAnsi="Times New Roman" w:cs="Times New Roman"/>
        </w:rPr>
        <w:t xml:space="preserve"> </w:t>
      </w:r>
      <w:r w:rsidR="00C53D13" w:rsidRPr="007A5E01">
        <w:rPr>
          <w:rFonts w:ascii="Times New Roman" w:hAnsi="Times New Roman" w:cs="Times New Roman"/>
        </w:rPr>
        <w:t xml:space="preserve">manage their </w:t>
      </w:r>
      <w:r w:rsidR="006D21A7" w:rsidRPr="007A5E01">
        <w:rPr>
          <w:rFonts w:ascii="Times New Roman" w:hAnsi="Times New Roman" w:cs="Times New Roman"/>
        </w:rPr>
        <w:t xml:space="preserve">public </w:t>
      </w:r>
      <w:r w:rsidR="00C53D13" w:rsidRPr="007A5E01">
        <w:rPr>
          <w:rFonts w:ascii="Times New Roman" w:hAnsi="Times New Roman" w:cs="Times New Roman"/>
        </w:rPr>
        <w:t>policy environment by engaging in non-market strategies</w:t>
      </w:r>
      <w:r w:rsidR="00D070F9" w:rsidRPr="007A5E01">
        <w:rPr>
          <w:rFonts w:ascii="Times New Roman" w:hAnsi="Times New Roman" w:cs="Times New Roman"/>
        </w:rPr>
        <w:t>, lobbying in particular</w:t>
      </w:r>
      <w:r w:rsidR="00246A6D" w:rsidRPr="007A5E01">
        <w:rPr>
          <w:rFonts w:ascii="Times New Roman" w:hAnsi="Times New Roman" w:cs="Times New Roman"/>
        </w:rPr>
        <w:t xml:space="preserve"> and how these efforts compare to those of non</w:t>
      </w:r>
      <w:r w:rsidR="00505B56">
        <w:rPr>
          <w:rFonts w:ascii="Times New Roman" w:hAnsi="Times New Roman" w:cs="Times New Roman"/>
        </w:rPr>
        <w:t>-</w:t>
      </w:r>
      <w:r w:rsidR="00246A6D" w:rsidRPr="007A5E01">
        <w:rPr>
          <w:rFonts w:ascii="Times New Roman" w:hAnsi="Times New Roman" w:cs="Times New Roman"/>
        </w:rPr>
        <w:t>VC backed counterparts.</w:t>
      </w:r>
      <w:r w:rsidR="00D4083A" w:rsidRPr="007A5E01">
        <w:rPr>
          <w:rFonts w:ascii="Times New Roman" w:hAnsi="Times New Roman" w:cs="Times New Roman"/>
        </w:rPr>
        <w:t xml:space="preserve"> </w:t>
      </w:r>
    </w:p>
    <w:p w14:paraId="2FEE12FE" w14:textId="77777777" w:rsidR="005C404E" w:rsidRDefault="00A8064E" w:rsidP="004E7B01">
      <w:pPr>
        <w:spacing w:line="480" w:lineRule="auto"/>
        <w:rPr>
          <w:rFonts w:ascii="Times New Roman" w:hAnsi="Times New Roman" w:cs="Times New Roman"/>
        </w:rPr>
      </w:pPr>
      <w:r w:rsidRPr="007A5E01">
        <w:rPr>
          <w:rFonts w:ascii="Times New Roman" w:hAnsi="Times New Roman" w:cs="Times New Roman"/>
          <w:b/>
        </w:rPr>
        <w:tab/>
      </w:r>
      <w:r w:rsidRPr="007A5E01">
        <w:rPr>
          <w:rFonts w:ascii="Times New Roman" w:hAnsi="Times New Roman" w:cs="Times New Roman"/>
        </w:rPr>
        <w:t xml:space="preserve">Our study contributes to the VC and non-market strategy literatures in several ways. First, we offer a non-market strategy perspective on an important yet neglected outcome </w:t>
      </w:r>
      <w:r w:rsidR="000C52AC" w:rsidRPr="007A5E01">
        <w:rPr>
          <w:rFonts w:ascii="Times New Roman" w:hAnsi="Times New Roman" w:cs="Times New Roman"/>
        </w:rPr>
        <w:t>in VC research. Prior research mainly focuses on m</w:t>
      </w:r>
      <w:r w:rsidR="00B1587D">
        <w:rPr>
          <w:rFonts w:ascii="Times New Roman" w:hAnsi="Times New Roman" w:cs="Times New Roman"/>
        </w:rPr>
        <w:t>arket outcomes of VC-backed companie</w:t>
      </w:r>
      <w:r w:rsidR="000C52AC" w:rsidRPr="007A5E01">
        <w:rPr>
          <w:rFonts w:ascii="Times New Roman" w:hAnsi="Times New Roman" w:cs="Times New Roman"/>
        </w:rPr>
        <w:t>s</w:t>
      </w:r>
      <w:r w:rsidR="00C26711">
        <w:rPr>
          <w:rFonts w:ascii="Times New Roman" w:hAnsi="Times New Roman" w:cs="Times New Roman"/>
        </w:rPr>
        <w:t xml:space="preserve"> (</w:t>
      </w:r>
      <w:r w:rsidR="004635D4">
        <w:rPr>
          <w:rFonts w:ascii="Times New Roman" w:hAnsi="Times New Roman" w:cs="Times New Roman"/>
        </w:rPr>
        <w:t>Alvarez-Garrido &amp; Dushnitsky, 2016; Da Rin, Hellmann, &amp; Puri, 2013; Dutta &amp; Folta, 2016</w:t>
      </w:r>
      <w:r w:rsidR="00C26711">
        <w:rPr>
          <w:rFonts w:ascii="Times New Roman" w:hAnsi="Times New Roman" w:cs="Times New Roman"/>
        </w:rPr>
        <w:t>)</w:t>
      </w:r>
      <w:r w:rsidR="000C52AC" w:rsidRPr="007A5E01">
        <w:rPr>
          <w:rFonts w:ascii="Times New Roman" w:hAnsi="Times New Roman" w:cs="Times New Roman"/>
        </w:rPr>
        <w:t xml:space="preserve">.  However, </w:t>
      </w:r>
      <w:r w:rsidR="00ED1802" w:rsidRPr="007A5E01">
        <w:rPr>
          <w:rFonts w:ascii="Times New Roman" w:hAnsi="Times New Roman" w:cs="Times New Roman"/>
        </w:rPr>
        <w:t>VC-backed companies</w:t>
      </w:r>
      <w:r w:rsidR="000C52AC" w:rsidRPr="007A5E01">
        <w:rPr>
          <w:rFonts w:ascii="Times New Roman" w:hAnsi="Times New Roman" w:cs="Times New Roman"/>
        </w:rPr>
        <w:t xml:space="preserve"> may benefit </w:t>
      </w:r>
      <w:r w:rsidR="00840842" w:rsidRPr="007A5E01">
        <w:rPr>
          <w:rFonts w:ascii="Times New Roman" w:hAnsi="Times New Roman" w:cs="Times New Roman"/>
        </w:rPr>
        <w:t>from</w:t>
      </w:r>
      <w:r w:rsidR="000C52AC" w:rsidRPr="007A5E01">
        <w:rPr>
          <w:rFonts w:ascii="Times New Roman" w:hAnsi="Times New Roman" w:cs="Times New Roman"/>
        </w:rPr>
        <w:t xml:space="preserve"> non-market strategies to reduce uncertainties in their environments. </w:t>
      </w:r>
      <w:r w:rsidR="00B1587D">
        <w:rPr>
          <w:rFonts w:ascii="Times New Roman" w:hAnsi="Times New Roman" w:cs="Times New Roman"/>
        </w:rPr>
        <w:t>Given the fact that VC-</w:t>
      </w:r>
      <w:r w:rsidR="00490BC8" w:rsidRPr="007A5E01">
        <w:rPr>
          <w:rFonts w:ascii="Times New Roman" w:hAnsi="Times New Roman" w:cs="Times New Roman"/>
        </w:rPr>
        <w:t xml:space="preserve">backed companies tend to disrupt the norms in their industries and even create new industries, lobbying can help them to have a voice in determining how the industry policies are shaped.  </w:t>
      </w:r>
    </w:p>
    <w:p w14:paraId="5D5D1B66" w14:textId="512C337C" w:rsidR="005C404E" w:rsidRDefault="00514EDC" w:rsidP="004E7B01">
      <w:pPr>
        <w:spacing w:line="480" w:lineRule="auto"/>
        <w:ind w:firstLine="720"/>
        <w:rPr>
          <w:rFonts w:ascii="Times New Roman" w:hAnsi="Times New Roman" w:cs="Times New Roman"/>
        </w:rPr>
      </w:pPr>
      <w:r w:rsidRPr="007A5E01">
        <w:rPr>
          <w:rFonts w:ascii="Times New Roman" w:hAnsi="Times New Roman" w:cs="Times New Roman"/>
        </w:rPr>
        <w:t>Second, our study advances the corporate political strategy research by exploring VC</w:t>
      </w:r>
      <w:r w:rsidR="005E3556" w:rsidRPr="007A5E01">
        <w:rPr>
          <w:rFonts w:ascii="Times New Roman" w:hAnsi="Times New Roman" w:cs="Times New Roman"/>
        </w:rPr>
        <w:t>-backing as an alternative ownership structure. A growing body of research has indicated several ownership structures such as institutional ownership, insider ownership, family ownership etc. as an antecedent of corporate political strategy</w:t>
      </w:r>
      <w:r w:rsidR="00C26711">
        <w:rPr>
          <w:rFonts w:ascii="Times New Roman" w:hAnsi="Times New Roman" w:cs="Times New Roman"/>
        </w:rPr>
        <w:t xml:space="preserve"> (</w:t>
      </w:r>
      <w:r w:rsidR="00E62A3F">
        <w:rPr>
          <w:rFonts w:ascii="Times New Roman" w:hAnsi="Times New Roman" w:cs="Times New Roman"/>
        </w:rPr>
        <w:t xml:space="preserve">Hadani, 2007, 2012; </w:t>
      </w:r>
      <w:r w:rsidR="00E62A3F">
        <w:rPr>
          <w:rFonts w:ascii="Times New Roman" w:eastAsia="Times New Roman" w:hAnsi="Times New Roman" w:cs="Times New Roman"/>
        </w:rPr>
        <w:t xml:space="preserve">Lux, Crook, &amp; Woehr, </w:t>
      </w:r>
      <w:r w:rsidR="00E62A3F" w:rsidRPr="00AF4815">
        <w:rPr>
          <w:rFonts w:ascii="Times New Roman" w:eastAsia="Times New Roman" w:hAnsi="Times New Roman" w:cs="Times New Roman"/>
        </w:rPr>
        <w:t>2011</w:t>
      </w:r>
      <w:r w:rsidR="00A26DCA">
        <w:rPr>
          <w:rFonts w:ascii="Times New Roman" w:eastAsia="Times New Roman" w:hAnsi="Times New Roman" w:cs="Times New Roman"/>
        </w:rPr>
        <w:t xml:space="preserve">; </w:t>
      </w:r>
      <w:r w:rsidR="00E62A3F">
        <w:rPr>
          <w:rFonts w:ascii="Times New Roman" w:hAnsi="Times New Roman" w:cs="Times New Roman"/>
        </w:rPr>
        <w:t>Ozer &amp; Alakent, 2013</w:t>
      </w:r>
      <w:r w:rsidR="00C26711">
        <w:rPr>
          <w:rFonts w:ascii="Times New Roman" w:hAnsi="Times New Roman" w:cs="Times New Roman"/>
        </w:rPr>
        <w:t>)</w:t>
      </w:r>
      <w:r w:rsidR="005E3556" w:rsidRPr="007A5E01">
        <w:rPr>
          <w:rFonts w:ascii="Times New Roman" w:hAnsi="Times New Roman" w:cs="Times New Roman"/>
        </w:rPr>
        <w:t xml:space="preserve">. </w:t>
      </w:r>
      <w:r w:rsidR="00745134" w:rsidRPr="007A5E01">
        <w:rPr>
          <w:rFonts w:ascii="Times New Roman" w:hAnsi="Times New Roman" w:cs="Times New Roman"/>
        </w:rPr>
        <w:t xml:space="preserve">However, to the best of our knowledge, there is no study that examined the effect of VC backing on political strategies. </w:t>
      </w:r>
      <w:r w:rsidR="005E3556" w:rsidRPr="007A5E01">
        <w:rPr>
          <w:rFonts w:ascii="Times New Roman" w:hAnsi="Times New Roman" w:cs="Times New Roman"/>
        </w:rPr>
        <w:t>By examining VC-backing as a potential ownership structure</w:t>
      </w:r>
      <w:r w:rsidR="00662299" w:rsidRPr="007A5E01">
        <w:rPr>
          <w:rFonts w:ascii="Times New Roman" w:hAnsi="Times New Roman" w:cs="Times New Roman"/>
        </w:rPr>
        <w:t xml:space="preserve">, our study provides new insights into the corporate political strategy research.  </w:t>
      </w:r>
      <w:r w:rsidR="005C404E">
        <w:rPr>
          <w:rFonts w:ascii="Times New Roman" w:hAnsi="Times New Roman" w:cs="Times New Roman"/>
        </w:rPr>
        <w:tab/>
      </w:r>
      <w:r w:rsidR="005C404E">
        <w:rPr>
          <w:rFonts w:ascii="Times New Roman" w:hAnsi="Times New Roman" w:cs="Times New Roman"/>
        </w:rPr>
        <w:tab/>
      </w:r>
      <w:r w:rsidR="005C404E">
        <w:rPr>
          <w:rFonts w:ascii="Times New Roman" w:hAnsi="Times New Roman" w:cs="Times New Roman"/>
        </w:rPr>
        <w:tab/>
      </w:r>
    </w:p>
    <w:p w14:paraId="154559A3" w14:textId="57F0EFCB" w:rsidR="005041D9" w:rsidRPr="007A5E01" w:rsidRDefault="000A2A98" w:rsidP="004E7B01">
      <w:pPr>
        <w:spacing w:line="480" w:lineRule="auto"/>
        <w:ind w:firstLine="720"/>
        <w:rPr>
          <w:rFonts w:ascii="Times New Roman" w:hAnsi="Times New Roman" w:cs="Times New Roman"/>
        </w:rPr>
      </w:pPr>
      <w:r w:rsidRPr="007A5E01">
        <w:rPr>
          <w:rFonts w:ascii="Times New Roman" w:hAnsi="Times New Roman" w:cs="Times New Roman"/>
        </w:rPr>
        <w:lastRenderedPageBreak/>
        <w:t xml:space="preserve">Third, our study contributes to the growing literature </w:t>
      </w:r>
      <w:r w:rsidR="00B1587D">
        <w:rPr>
          <w:rFonts w:ascii="Times New Roman" w:hAnsi="Times New Roman" w:cs="Times New Roman"/>
        </w:rPr>
        <w:t>that explores</w:t>
      </w:r>
      <w:r w:rsidRPr="007A5E01">
        <w:rPr>
          <w:rFonts w:ascii="Times New Roman" w:hAnsi="Times New Roman" w:cs="Times New Roman"/>
        </w:rPr>
        <w:t xml:space="preserve"> </w:t>
      </w:r>
      <w:r w:rsidR="005041D9" w:rsidRPr="007A5E01">
        <w:rPr>
          <w:rFonts w:ascii="Times New Roman" w:hAnsi="Times New Roman" w:cs="Times New Roman"/>
        </w:rPr>
        <w:t>the integration of market and non-market strategies</w:t>
      </w:r>
      <w:r w:rsidR="00630F1D" w:rsidRPr="007A5E01">
        <w:rPr>
          <w:rFonts w:ascii="Times New Roman" w:hAnsi="Times New Roman" w:cs="Times New Roman"/>
        </w:rPr>
        <w:t xml:space="preserve">. </w:t>
      </w:r>
      <w:r w:rsidR="005041D9" w:rsidRPr="007A5E01">
        <w:rPr>
          <w:rFonts w:ascii="Times New Roman" w:hAnsi="Times New Roman" w:cs="Times New Roman"/>
        </w:rPr>
        <w:t xml:space="preserve"> Prior work in this stream has focused m</w:t>
      </w:r>
      <w:r w:rsidR="00B1587D">
        <w:rPr>
          <w:rFonts w:ascii="Times New Roman" w:hAnsi="Times New Roman" w:cs="Times New Roman"/>
        </w:rPr>
        <w:t>ainly on the integration of company</w:t>
      </w:r>
      <w:r w:rsidR="005041D9" w:rsidRPr="007A5E01">
        <w:rPr>
          <w:rFonts w:ascii="Times New Roman" w:hAnsi="Times New Roman" w:cs="Times New Roman"/>
        </w:rPr>
        <w:t xml:space="preserve"> performance and corporate political strategy and social responsibility</w:t>
      </w:r>
      <w:r w:rsidR="00C26711">
        <w:rPr>
          <w:rFonts w:ascii="Times New Roman" w:hAnsi="Times New Roman" w:cs="Times New Roman"/>
        </w:rPr>
        <w:t xml:space="preserve"> (</w:t>
      </w:r>
      <w:r w:rsidR="001D0B27">
        <w:rPr>
          <w:rFonts w:ascii="Times New Roman" w:hAnsi="Times New Roman" w:cs="Times New Roman"/>
        </w:rPr>
        <w:t>Hadani &amp; Schuler, 2013; Mellahi, Frynas, Sun, &amp; Siegel, 2016; Rajwani &amp; Liedong, 2015)</w:t>
      </w:r>
      <w:r w:rsidR="005041D9" w:rsidRPr="007A5E01">
        <w:rPr>
          <w:rFonts w:ascii="Times New Roman" w:hAnsi="Times New Roman" w:cs="Times New Roman"/>
        </w:rPr>
        <w:t xml:space="preserve">. </w:t>
      </w:r>
      <w:r w:rsidR="00623B07" w:rsidRPr="007A5E01">
        <w:rPr>
          <w:rFonts w:ascii="Times New Roman" w:hAnsi="Times New Roman" w:cs="Times New Roman"/>
        </w:rPr>
        <w:t xml:space="preserve">By exploring VC </w:t>
      </w:r>
      <w:r w:rsidR="00490BC8" w:rsidRPr="007A5E01">
        <w:rPr>
          <w:rFonts w:ascii="Times New Roman" w:hAnsi="Times New Roman" w:cs="Times New Roman"/>
        </w:rPr>
        <w:t xml:space="preserve">investment </w:t>
      </w:r>
      <w:r w:rsidR="00623B07" w:rsidRPr="007A5E01">
        <w:rPr>
          <w:rFonts w:ascii="Times New Roman" w:hAnsi="Times New Roman" w:cs="Times New Roman"/>
        </w:rPr>
        <w:t>as a market strategy and lobbying as a</w:t>
      </w:r>
      <w:r w:rsidR="00AF68EE" w:rsidRPr="007A5E01">
        <w:rPr>
          <w:rFonts w:ascii="Times New Roman" w:hAnsi="Times New Roman" w:cs="Times New Roman"/>
        </w:rPr>
        <w:t xml:space="preserve"> </w:t>
      </w:r>
      <w:r w:rsidR="00623B07" w:rsidRPr="007A5E01">
        <w:rPr>
          <w:rFonts w:ascii="Times New Roman" w:hAnsi="Times New Roman" w:cs="Times New Roman"/>
        </w:rPr>
        <w:t>non-market strategy, ou</w:t>
      </w:r>
      <w:r w:rsidR="005041D9" w:rsidRPr="007A5E01">
        <w:rPr>
          <w:rFonts w:ascii="Times New Roman" w:hAnsi="Times New Roman" w:cs="Times New Roman"/>
        </w:rPr>
        <w:t>r study</w:t>
      </w:r>
      <w:r w:rsidR="00623B07" w:rsidRPr="007A5E01">
        <w:rPr>
          <w:rFonts w:ascii="Times New Roman" w:hAnsi="Times New Roman" w:cs="Times New Roman"/>
        </w:rPr>
        <w:t xml:space="preserve"> adds value to </w:t>
      </w:r>
      <w:r w:rsidR="00B1587D">
        <w:rPr>
          <w:rFonts w:ascii="Times New Roman" w:hAnsi="Times New Roman" w:cs="Times New Roman"/>
        </w:rPr>
        <w:t>our understanding of how companie</w:t>
      </w:r>
      <w:r w:rsidR="00AF68EE" w:rsidRPr="007A5E01">
        <w:rPr>
          <w:rFonts w:ascii="Times New Roman" w:hAnsi="Times New Roman" w:cs="Times New Roman"/>
        </w:rPr>
        <w:t xml:space="preserve">s manage their internal and external environment in a more integrated way. </w:t>
      </w:r>
      <w:r w:rsidR="00623B07" w:rsidRPr="007A5E01">
        <w:rPr>
          <w:rFonts w:ascii="Times New Roman" w:hAnsi="Times New Roman" w:cs="Times New Roman"/>
        </w:rPr>
        <w:t xml:space="preserve"> </w:t>
      </w:r>
      <w:r w:rsidR="005041D9" w:rsidRPr="007A5E01">
        <w:rPr>
          <w:rFonts w:ascii="Times New Roman" w:hAnsi="Times New Roman" w:cs="Times New Roman"/>
        </w:rPr>
        <w:t xml:space="preserve"> </w:t>
      </w:r>
    </w:p>
    <w:p w14:paraId="1F3D17C4" w14:textId="77777777" w:rsidR="0055145C" w:rsidRPr="007A5E01" w:rsidRDefault="0055145C" w:rsidP="004E7B01">
      <w:pPr>
        <w:spacing w:line="480" w:lineRule="auto"/>
        <w:rPr>
          <w:rFonts w:ascii="Times New Roman" w:hAnsi="Times New Roman" w:cs="Times New Roman"/>
        </w:rPr>
      </w:pPr>
    </w:p>
    <w:p w14:paraId="06E7D817" w14:textId="77777777" w:rsidR="004E7B01" w:rsidRDefault="0047476C" w:rsidP="004E7B01">
      <w:pPr>
        <w:spacing w:line="480" w:lineRule="auto"/>
        <w:rPr>
          <w:rFonts w:ascii="Times New Roman" w:hAnsi="Times New Roman" w:cs="Times New Roman"/>
          <w:b/>
        </w:rPr>
      </w:pPr>
      <w:r w:rsidRPr="007A5E01">
        <w:rPr>
          <w:rFonts w:ascii="Times New Roman" w:hAnsi="Times New Roman" w:cs="Times New Roman"/>
          <w:b/>
        </w:rPr>
        <w:t>Theory and Hypotheses</w:t>
      </w:r>
    </w:p>
    <w:p w14:paraId="0A0002A6" w14:textId="07599538" w:rsidR="001F37F4" w:rsidRPr="004E7B01" w:rsidRDefault="00FE063D" w:rsidP="004E7B01">
      <w:pPr>
        <w:spacing w:line="480" w:lineRule="auto"/>
        <w:rPr>
          <w:rFonts w:ascii="Times New Roman" w:hAnsi="Times New Roman" w:cs="Times New Roman"/>
        </w:rPr>
      </w:pPr>
      <w:r w:rsidRPr="004E7B01">
        <w:rPr>
          <w:rFonts w:ascii="Times New Roman" w:hAnsi="Times New Roman" w:cs="Times New Roman"/>
        </w:rPr>
        <w:t xml:space="preserve">One aspect of non-market strategy is corporate political strategy. </w:t>
      </w:r>
      <w:r w:rsidR="00B1587D" w:rsidRPr="004E7B01">
        <w:rPr>
          <w:rFonts w:ascii="Times New Roman" w:hAnsi="Times New Roman" w:cs="Times New Roman"/>
        </w:rPr>
        <w:t>Companies</w:t>
      </w:r>
      <w:r w:rsidR="00B6176D" w:rsidRPr="004E7B01">
        <w:rPr>
          <w:rFonts w:ascii="Times New Roman" w:hAnsi="Times New Roman" w:cs="Times New Roman"/>
        </w:rPr>
        <w:t xml:space="preserve"> engage in corporate political strategy to gain access to policy makers and influence their policy environments (</w:t>
      </w:r>
      <w:r w:rsidR="006F6E3C" w:rsidRPr="004E7B01">
        <w:rPr>
          <w:rFonts w:ascii="Times New Roman" w:hAnsi="Times New Roman" w:cs="Times New Roman"/>
        </w:rPr>
        <w:t>Hillman, Zardkoohi, &amp; Bierman, 1999</w:t>
      </w:r>
      <w:r w:rsidR="00B6176D" w:rsidRPr="004E7B01">
        <w:rPr>
          <w:rFonts w:ascii="Times New Roman" w:hAnsi="Times New Roman" w:cs="Times New Roman"/>
        </w:rPr>
        <w:t xml:space="preserve">). </w:t>
      </w:r>
      <w:r w:rsidR="00A25994" w:rsidRPr="004E7B01">
        <w:rPr>
          <w:rFonts w:ascii="Times New Roman" w:hAnsi="Times New Roman" w:cs="Times New Roman"/>
        </w:rPr>
        <w:t xml:space="preserve">In fact, federal lobbying expenditures </w:t>
      </w:r>
      <w:r w:rsidR="00B1587D" w:rsidRPr="004E7B01">
        <w:rPr>
          <w:rFonts w:ascii="Times New Roman" w:hAnsi="Times New Roman" w:cs="Times New Roman"/>
        </w:rPr>
        <w:t xml:space="preserve">has </w:t>
      </w:r>
      <w:r w:rsidR="00A25994" w:rsidRPr="004E7B01">
        <w:rPr>
          <w:rFonts w:ascii="Times New Roman" w:hAnsi="Times New Roman" w:cs="Times New Roman"/>
        </w:rPr>
        <w:t>reach</w:t>
      </w:r>
      <w:r w:rsidR="00B1587D" w:rsidRPr="004E7B01">
        <w:rPr>
          <w:rFonts w:ascii="Times New Roman" w:hAnsi="Times New Roman" w:cs="Times New Roman"/>
        </w:rPr>
        <w:t>ed</w:t>
      </w:r>
      <w:r w:rsidR="00A25994" w:rsidRPr="004E7B01">
        <w:rPr>
          <w:rFonts w:ascii="Times New Roman" w:hAnsi="Times New Roman" w:cs="Times New Roman"/>
        </w:rPr>
        <w:t xml:space="preserve"> $2 billion per year </w:t>
      </w:r>
      <w:r w:rsidR="00A96295" w:rsidRPr="004E7B01">
        <w:rPr>
          <w:rFonts w:ascii="Times New Roman" w:hAnsi="Times New Roman" w:cs="Times New Roman"/>
        </w:rPr>
        <w:t xml:space="preserve">in U.S. </w:t>
      </w:r>
      <w:r w:rsidR="00A25994" w:rsidRPr="004E7B01">
        <w:rPr>
          <w:rFonts w:ascii="Times New Roman" w:hAnsi="Times New Roman" w:cs="Times New Roman"/>
        </w:rPr>
        <w:t>(Groseclo</w:t>
      </w:r>
      <w:r w:rsidR="00E0772E" w:rsidRPr="004E7B01">
        <w:rPr>
          <w:rFonts w:ascii="Times New Roman" w:hAnsi="Times New Roman" w:cs="Times New Roman"/>
        </w:rPr>
        <w:t>se, Milyo &amp;</w:t>
      </w:r>
      <w:r w:rsidR="00A25994" w:rsidRPr="004E7B01">
        <w:rPr>
          <w:rFonts w:ascii="Times New Roman" w:hAnsi="Times New Roman" w:cs="Times New Roman"/>
        </w:rPr>
        <w:t xml:space="preserve"> Primo 2000)</w:t>
      </w:r>
      <w:r w:rsidR="00B1587D" w:rsidRPr="004E7B01">
        <w:rPr>
          <w:rFonts w:ascii="Times New Roman" w:hAnsi="Times New Roman" w:cs="Times New Roman"/>
        </w:rPr>
        <w:t>.</w:t>
      </w:r>
      <w:r w:rsidR="00A25994" w:rsidRPr="004E7B01">
        <w:rPr>
          <w:rFonts w:ascii="Times New Roman" w:hAnsi="Times New Roman" w:cs="Times New Roman"/>
        </w:rPr>
        <w:t xml:space="preserve"> </w:t>
      </w:r>
      <w:r w:rsidR="00EF6CA7" w:rsidRPr="004E7B01">
        <w:rPr>
          <w:rFonts w:ascii="Times New Roman" w:hAnsi="Times New Roman" w:cs="Times New Roman"/>
        </w:rPr>
        <w:t xml:space="preserve">Prior studies suggest that corporate </w:t>
      </w:r>
      <w:r w:rsidR="00B1587D" w:rsidRPr="004E7B01">
        <w:rPr>
          <w:rFonts w:ascii="Times New Roman" w:hAnsi="Times New Roman" w:cs="Times New Roman"/>
        </w:rPr>
        <w:t>political strategy provides companie</w:t>
      </w:r>
      <w:r w:rsidR="00EF6CA7" w:rsidRPr="004E7B01">
        <w:rPr>
          <w:rFonts w:ascii="Times New Roman" w:hAnsi="Times New Roman" w:cs="Times New Roman"/>
        </w:rPr>
        <w:t>s with benefits such as government contracts (Hadani, Munshi, &amp; Clark, 2017</w:t>
      </w:r>
      <w:r w:rsidR="006F6E3C" w:rsidRPr="004E7B01">
        <w:rPr>
          <w:rFonts w:ascii="Times New Roman" w:hAnsi="Times New Roman" w:cs="Times New Roman"/>
        </w:rPr>
        <w:t>; Hart, 2001</w:t>
      </w:r>
      <w:r w:rsidR="00EF6CA7" w:rsidRPr="004E7B01">
        <w:rPr>
          <w:rFonts w:ascii="Times New Roman" w:hAnsi="Times New Roman" w:cs="Times New Roman"/>
        </w:rPr>
        <w:t>), tax relief (</w:t>
      </w:r>
      <w:r w:rsidR="006F6E3C" w:rsidRPr="004E7B01">
        <w:rPr>
          <w:rFonts w:ascii="Times New Roman" w:hAnsi="Times New Roman" w:cs="Times New Roman"/>
        </w:rPr>
        <w:t>Richter, Samphantharak, &amp; Timmons, 2009</w:t>
      </w:r>
      <w:r w:rsidR="00EF6CA7" w:rsidRPr="004E7B01">
        <w:rPr>
          <w:rFonts w:ascii="Times New Roman" w:hAnsi="Times New Roman" w:cs="Times New Roman"/>
        </w:rPr>
        <w:t>), and government bailout (</w:t>
      </w:r>
      <w:r w:rsidR="00862F85" w:rsidRPr="004E7B01">
        <w:rPr>
          <w:rFonts w:ascii="Times New Roman" w:hAnsi="Times New Roman" w:cs="Times New Roman"/>
        </w:rPr>
        <w:t>Faccio, Masulis, &amp; McConnell, 2006</w:t>
      </w:r>
      <w:r w:rsidR="00EF6CA7" w:rsidRPr="004E7B01">
        <w:rPr>
          <w:rFonts w:ascii="Times New Roman" w:hAnsi="Times New Roman" w:cs="Times New Roman"/>
        </w:rPr>
        <w:t xml:space="preserve">). </w:t>
      </w:r>
      <w:r w:rsidR="00B6176D" w:rsidRPr="004E7B01">
        <w:rPr>
          <w:rFonts w:ascii="Times New Roman" w:hAnsi="Times New Roman" w:cs="Times New Roman"/>
        </w:rPr>
        <w:t>Of the many means</w:t>
      </w:r>
      <w:r w:rsidR="007140BE" w:rsidRPr="004E7B01">
        <w:rPr>
          <w:rFonts w:ascii="Times New Roman" w:hAnsi="Times New Roman" w:cs="Times New Roman"/>
        </w:rPr>
        <w:t xml:space="preserve"> of corporate political participation</w:t>
      </w:r>
      <w:r w:rsidR="00B6176D" w:rsidRPr="004E7B01">
        <w:rPr>
          <w:rFonts w:ascii="Times New Roman" w:hAnsi="Times New Roman" w:cs="Times New Roman"/>
        </w:rPr>
        <w:t>, lobbying is a primary and effective strategy (Lux et al., 2011</w:t>
      </w:r>
      <w:r w:rsidR="007140BE" w:rsidRPr="004E7B01">
        <w:rPr>
          <w:rFonts w:ascii="Times New Roman" w:hAnsi="Times New Roman" w:cs="Times New Roman"/>
        </w:rPr>
        <w:t>; Chen, Parsley and Yang, 2015</w:t>
      </w:r>
      <w:r w:rsidR="00B6176D" w:rsidRPr="004E7B01">
        <w:rPr>
          <w:rFonts w:ascii="Times New Roman" w:hAnsi="Times New Roman" w:cs="Times New Roman"/>
        </w:rPr>
        <w:t xml:space="preserve">). </w:t>
      </w:r>
      <w:r w:rsidR="00342B18" w:rsidRPr="004E7B01">
        <w:rPr>
          <w:rFonts w:ascii="Times New Roman" w:hAnsi="Times New Roman" w:cs="Times New Roman"/>
        </w:rPr>
        <w:t>The purpose of lobbying is to establish communication channels with legislators, monitor legislation, and influence the decisions of legislators in a favorable way (Keim &amp; Zeithaml, 1986</w:t>
      </w:r>
      <w:r w:rsidR="008B687A" w:rsidRPr="004E7B01">
        <w:rPr>
          <w:rFonts w:ascii="Times New Roman" w:hAnsi="Times New Roman" w:cs="Times New Roman"/>
        </w:rPr>
        <w:t>; Rudy &amp; Cavich, 2017</w:t>
      </w:r>
      <w:r w:rsidR="00342B18" w:rsidRPr="004E7B01">
        <w:rPr>
          <w:rFonts w:ascii="Times New Roman" w:hAnsi="Times New Roman" w:cs="Times New Roman"/>
        </w:rPr>
        <w:t xml:space="preserve">). </w:t>
      </w:r>
      <w:r w:rsidR="00EC6DE4" w:rsidRPr="004E7B01">
        <w:rPr>
          <w:rFonts w:ascii="Times New Roman" w:hAnsi="Times New Roman" w:cs="Times New Roman"/>
        </w:rPr>
        <w:t xml:space="preserve">Lobbing is the primary method by which special interest groups influence public policy. </w:t>
      </w:r>
      <w:r w:rsidR="00B1587D" w:rsidRPr="004E7B01">
        <w:rPr>
          <w:rFonts w:ascii="Times New Roman" w:hAnsi="Times New Roman" w:cs="Times New Roman"/>
        </w:rPr>
        <w:t>Lobbying may enable companie</w:t>
      </w:r>
      <w:r w:rsidR="00327B19" w:rsidRPr="004E7B01">
        <w:rPr>
          <w:rFonts w:ascii="Times New Roman" w:hAnsi="Times New Roman" w:cs="Times New Roman"/>
        </w:rPr>
        <w:t xml:space="preserve">s to establish relationships with policy makers and provide specific information about their policy </w:t>
      </w:r>
      <w:r w:rsidR="00327B19" w:rsidRPr="004E7B01">
        <w:rPr>
          <w:rFonts w:ascii="Times New Roman" w:hAnsi="Times New Roman" w:cs="Times New Roman"/>
        </w:rPr>
        <w:lastRenderedPageBreak/>
        <w:t xml:space="preserve">preferences to policy makers (Rajwani &amp; Liedong, 2015). </w:t>
      </w:r>
      <w:r w:rsidR="00EC6DE4" w:rsidRPr="004E7B01">
        <w:rPr>
          <w:rFonts w:ascii="Times New Roman" w:hAnsi="Times New Roman" w:cs="Times New Roman"/>
        </w:rPr>
        <w:t>Despite being this powerful and influential</w:t>
      </w:r>
      <w:r w:rsidR="007140BE" w:rsidRPr="004E7B01">
        <w:rPr>
          <w:rFonts w:ascii="Times New Roman" w:hAnsi="Times New Roman" w:cs="Times New Roman"/>
        </w:rPr>
        <w:t>,</w:t>
      </w:r>
      <w:r w:rsidR="00EC6DE4" w:rsidRPr="004E7B01">
        <w:rPr>
          <w:rFonts w:ascii="Times New Roman" w:hAnsi="Times New Roman" w:cs="Times New Roman"/>
        </w:rPr>
        <w:t xml:space="preserve"> little is known regarding</w:t>
      </w:r>
      <w:r w:rsidR="00B1587D" w:rsidRPr="004E7B01">
        <w:rPr>
          <w:rFonts w:ascii="Times New Roman" w:hAnsi="Times New Roman" w:cs="Times New Roman"/>
        </w:rPr>
        <w:t xml:space="preserve"> the returns of lobbying on company</w:t>
      </w:r>
      <w:r w:rsidR="00EC6DE4" w:rsidRPr="004E7B01">
        <w:rPr>
          <w:rFonts w:ascii="Times New Roman" w:hAnsi="Times New Roman" w:cs="Times New Roman"/>
        </w:rPr>
        <w:t xml:space="preserve"> financial pe</w:t>
      </w:r>
      <w:r w:rsidR="005337CC" w:rsidRPr="004E7B01">
        <w:rPr>
          <w:rFonts w:ascii="Times New Roman" w:hAnsi="Times New Roman" w:cs="Times New Roman"/>
        </w:rPr>
        <w:t>rformance and whether investors view the</w:t>
      </w:r>
      <w:r w:rsidR="007140BE" w:rsidRPr="004E7B01">
        <w:rPr>
          <w:rFonts w:ascii="Times New Roman" w:hAnsi="Times New Roman" w:cs="Times New Roman"/>
        </w:rPr>
        <w:t>s</w:t>
      </w:r>
      <w:r w:rsidR="005337CC" w:rsidRPr="004E7B01">
        <w:rPr>
          <w:rFonts w:ascii="Times New Roman" w:hAnsi="Times New Roman" w:cs="Times New Roman"/>
        </w:rPr>
        <w:t>e efforts as value enhancing or not</w:t>
      </w:r>
      <w:r w:rsidR="006D1FA3" w:rsidRPr="004E7B01">
        <w:rPr>
          <w:rFonts w:ascii="Times New Roman" w:hAnsi="Times New Roman" w:cs="Times New Roman"/>
        </w:rPr>
        <w:t xml:space="preserve"> (</w:t>
      </w:r>
      <w:r w:rsidR="007140BE" w:rsidRPr="004E7B01">
        <w:rPr>
          <w:rFonts w:ascii="Times New Roman" w:hAnsi="Times New Roman" w:cs="Times New Roman"/>
        </w:rPr>
        <w:t>Chen, Parsley and Yang, 2015; d</w:t>
      </w:r>
      <w:r w:rsidR="006D1FA3" w:rsidRPr="004E7B01">
        <w:rPr>
          <w:rFonts w:ascii="Times New Roman" w:hAnsi="Times New Roman" w:cs="Times New Roman"/>
        </w:rPr>
        <w:t>e Figueiredo &amp; Silverman, 2006)</w:t>
      </w:r>
      <w:r w:rsidR="001F37F4" w:rsidRPr="004E7B01">
        <w:rPr>
          <w:rFonts w:ascii="Times New Roman" w:hAnsi="Times New Roman" w:cs="Times New Roman"/>
        </w:rPr>
        <w:t>.</w:t>
      </w:r>
    </w:p>
    <w:p w14:paraId="044626CF" w14:textId="3D7257E5" w:rsidR="001F37F4" w:rsidRDefault="001F37F4" w:rsidP="004E7B01">
      <w:pPr>
        <w:pStyle w:val="NormalWeb"/>
        <w:spacing w:line="480" w:lineRule="auto"/>
        <w:ind w:firstLine="720"/>
      </w:pPr>
      <w:r w:rsidRPr="007A5E01">
        <w:t xml:space="preserve"> </w:t>
      </w:r>
      <w:r w:rsidR="008B687A" w:rsidRPr="007A5E01">
        <w:t>Studies that explored the relati</w:t>
      </w:r>
      <w:r w:rsidR="00B1587D">
        <w:t>onship between lobbying and company</w:t>
      </w:r>
      <w:r w:rsidR="008B687A" w:rsidRPr="007A5E01">
        <w:t xml:space="preserve"> performance revealed mixed results (Rudy &amp; Cavich, 2017). </w:t>
      </w:r>
      <w:r w:rsidR="00EF3A84" w:rsidRPr="00400D06">
        <w:t>Some studies found</w:t>
      </w:r>
      <w:r w:rsidR="00B1587D">
        <w:t xml:space="preserve"> positive company</w:t>
      </w:r>
      <w:r w:rsidR="00C90BF1" w:rsidRPr="002C127D">
        <w:t xml:space="preserve"> outcomes of lobbying (</w:t>
      </w:r>
      <w:r w:rsidR="00D92074" w:rsidRPr="002C127D">
        <w:t>Richter et al., 2009</w:t>
      </w:r>
      <w:r w:rsidR="008B687A" w:rsidRPr="002C127D">
        <w:t>; Shaffner, Quasney &amp; Grimm, 2000</w:t>
      </w:r>
      <w:r w:rsidR="007140BE">
        <w:t>;</w:t>
      </w:r>
      <w:r w:rsidR="007140BE" w:rsidRPr="007140BE">
        <w:t xml:space="preserve"> </w:t>
      </w:r>
      <w:r w:rsidR="007140BE">
        <w:t>Chen, Parsley and Yang, 2015</w:t>
      </w:r>
      <w:r w:rsidR="00EF3A84" w:rsidRPr="002C127D">
        <w:t xml:space="preserve">). For example, </w:t>
      </w:r>
      <w:r w:rsidR="00427DBA" w:rsidRPr="000E33A5">
        <w:t xml:space="preserve">de </w:t>
      </w:r>
      <w:r w:rsidR="00EF3A84" w:rsidRPr="000E33A5">
        <w:t>Figueiredo and Silverman</w:t>
      </w:r>
      <w:r w:rsidR="00A96295" w:rsidRPr="007A5E01">
        <w:t xml:space="preserve"> (2006)</w:t>
      </w:r>
      <w:r w:rsidR="00EF3A84" w:rsidRPr="007A5E01">
        <w:t xml:space="preserve"> found that universities that engaged in lobbying saw greater academic earmarks when the university was located in the legislator’s state. O</w:t>
      </w:r>
      <w:r w:rsidR="00C90BF1" w:rsidRPr="007A5E01">
        <w:t>ther stud</w:t>
      </w:r>
      <w:r w:rsidR="00B1587D">
        <w:t>ies are more cautious about the positive results</w:t>
      </w:r>
      <w:r w:rsidR="00C90BF1" w:rsidRPr="007A5E01">
        <w:t xml:space="preserve"> (</w:t>
      </w:r>
      <w:r w:rsidR="00D92074" w:rsidRPr="007A5E01">
        <w:t>Hadani &amp; Schuler, 2013</w:t>
      </w:r>
      <w:r w:rsidR="00C90BF1" w:rsidRPr="007A5E01">
        <w:t>).</w:t>
      </w:r>
      <w:r w:rsidR="000D7ECC" w:rsidRPr="007A5E01">
        <w:t xml:space="preserve"> These studies imply that returns to lobbying are highly uncertain</w:t>
      </w:r>
      <w:r w:rsidR="006F02FF" w:rsidRPr="007A5E01">
        <w:t xml:space="preserve"> (Hadani, Bonardi, &amp; Dahan, 2016)</w:t>
      </w:r>
      <w:r w:rsidR="000D7ECC" w:rsidRPr="007A5E01">
        <w:t xml:space="preserve">. </w:t>
      </w:r>
      <w:r w:rsidR="00C90BF1" w:rsidRPr="007A5E01">
        <w:t xml:space="preserve"> </w:t>
      </w:r>
      <w:r w:rsidR="00D044A9" w:rsidRPr="007A5E01">
        <w:t>Lobbying</w:t>
      </w:r>
      <w:r w:rsidR="00BD329E" w:rsidRPr="007A5E01">
        <w:t xml:space="preserve"> is a long-term </w:t>
      </w:r>
      <w:r w:rsidR="00B1587D" w:rsidRPr="007A5E01">
        <w:t>investment;</w:t>
      </w:r>
      <w:r w:rsidR="00BD329E" w:rsidRPr="007A5E01">
        <w:t xml:space="preserve"> therefore,</w:t>
      </w:r>
      <w:r w:rsidR="00B1587D">
        <w:t xml:space="preserve"> companie</w:t>
      </w:r>
      <w:r w:rsidR="00D044A9" w:rsidRPr="007A5E01">
        <w:t xml:space="preserve">s may not accrue </w:t>
      </w:r>
      <w:r w:rsidR="00BD329E" w:rsidRPr="007A5E01">
        <w:t xml:space="preserve">immediate returns from their lobbying efforts (Getz, 2002). </w:t>
      </w:r>
      <w:r w:rsidR="00B954CB" w:rsidRPr="007A5E01">
        <w:t xml:space="preserve"> In addition, the a</w:t>
      </w:r>
      <w:r w:rsidR="00B1587D">
        <w:t>ctual impact of lobbying on company</w:t>
      </w:r>
      <w:r w:rsidR="00B954CB" w:rsidRPr="007A5E01">
        <w:t xml:space="preserve"> outcomes is usually indirect, which could be derived through possible legislative changes (Baron, 1997</w:t>
      </w:r>
      <w:r w:rsidR="00261086">
        <w:t>; Ridge</w:t>
      </w:r>
      <w:r w:rsidR="007140BE">
        <w:t>, Ingram &amp; Hill, 2017</w:t>
      </w:r>
      <w:r w:rsidR="00B954CB" w:rsidRPr="007A5E01">
        <w:t xml:space="preserve">). </w:t>
      </w:r>
      <w:r w:rsidR="00B1587D">
        <w:t xml:space="preserve"> Thus, companie</w:t>
      </w:r>
      <w:r w:rsidR="003A69D0" w:rsidRPr="007A5E01">
        <w:t xml:space="preserve">s can benefit from lobbying in the long-term by </w:t>
      </w:r>
      <w:r w:rsidR="00CF32B6" w:rsidRPr="007A5E01">
        <w:t xml:space="preserve">monitoring changes in their environment and </w:t>
      </w:r>
      <w:r w:rsidR="003A69D0" w:rsidRPr="007A5E01">
        <w:t xml:space="preserve">reducing </w:t>
      </w:r>
      <w:r w:rsidR="00CF32B6" w:rsidRPr="007A5E01">
        <w:t xml:space="preserve">environmental </w:t>
      </w:r>
      <w:r w:rsidR="003A69D0" w:rsidRPr="007A5E01">
        <w:t>uncertainties</w:t>
      </w:r>
      <w:r>
        <w:t xml:space="preserve"> (Getz, 2002).</w:t>
      </w:r>
    </w:p>
    <w:p w14:paraId="34C6CE02" w14:textId="124B7DE9" w:rsidR="00B954CB" w:rsidRPr="007A5E01" w:rsidRDefault="00A96295" w:rsidP="004E7B01">
      <w:pPr>
        <w:pStyle w:val="NormalWeb"/>
        <w:spacing w:before="0" w:beforeAutospacing="0" w:after="0" w:afterAutospacing="0" w:line="480" w:lineRule="auto"/>
        <w:ind w:firstLine="720"/>
      </w:pPr>
      <w:r w:rsidRPr="007A5E01">
        <w:t xml:space="preserve">These mixed findings suggest that there </w:t>
      </w:r>
      <w:r w:rsidR="00711ACB" w:rsidRPr="007A5E01">
        <w:t>is a need for more fine-grained approaches to the relationship betwe</w:t>
      </w:r>
      <w:r w:rsidR="00B1587D">
        <w:t>en political strategies and company</w:t>
      </w:r>
      <w:r w:rsidR="00711ACB" w:rsidRPr="007A5E01">
        <w:t xml:space="preserve"> outcome</w:t>
      </w:r>
      <w:r w:rsidR="00B1587D">
        <w:t>s</w:t>
      </w:r>
      <w:r w:rsidR="00711ACB" w:rsidRPr="007A5E01">
        <w:t>. Th</w:t>
      </w:r>
      <w:r w:rsidR="00B1587D">
        <w:t>e motivation and company</w:t>
      </w:r>
      <w:r w:rsidR="00711ACB" w:rsidRPr="007A5E01">
        <w:t xml:space="preserve"> specific factors that affect corporate political activity choice will also ha</w:t>
      </w:r>
      <w:r w:rsidR="00B1587D">
        <w:t>ve a great impact on whether companie</w:t>
      </w:r>
      <w:r w:rsidR="00711ACB" w:rsidRPr="007A5E01">
        <w:t xml:space="preserve">s will achieve desired outcomes. </w:t>
      </w:r>
      <w:r w:rsidR="005337CC" w:rsidRPr="007A5E01">
        <w:t xml:space="preserve">Since </w:t>
      </w:r>
      <w:r w:rsidR="005337CC" w:rsidRPr="007A5E01">
        <w:lastRenderedPageBreak/>
        <w:t>lobbying is viewed as a mechanism that reduces future uncertainty, we believe that VC industry gives us a unique opportunity to test this claim since VC backed companies are facing uncertainty by the nature of the industry and their reaction to lobbying can shed light on how lobbying is perceived under these conditions.</w:t>
      </w:r>
    </w:p>
    <w:p w14:paraId="12BE34ED" w14:textId="77777777" w:rsidR="004E7B01" w:rsidRDefault="004E7B01" w:rsidP="004E7B01">
      <w:pPr>
        <w:spacing w:line="480" w:lineRule="auto"/>
        <w:rPr>
          <w:rFonts w:ascii="Times New Roman" w:hAnsi="Times New Roman" w:cs="Times New Roman"/>
          <w:b/>
        </w:rPr>
      </w:pPr>
    </w:p>
    <w:p w14:paraId="714FB5B7" w14:textId="083964C6" w:rsidR="004D2B01" w:rsidRPr="007A5E01" w:rsidRDefault="000627C7" w:rsidP="004E7B01">
      <w:pPr>
        <w:spacing w:line="480" w:lineRule="auto"/>
        <w:rPr>
          <w:rFonts w:ascii="Times New Roman" w:hAnsi="Times New Roman" w:cs="Times New Roman"/>
          <w:b/>
        </w:rPr>
      </w:pPr>
      <w:r w:rsidRPr="007A5E01">
        <w:rPr>
          <w:rFonts w:ascii="Times New Roman" w:hAnsi="Times New Roman" w:cs="Times New Roman"/>
          <w:b/>
        </w:rPr>
        <w:t>Ownership Structure and CPS</w:t>
      </w:r>
    </w:p>
    <w:p w14:paraId="2DC7D06C" w14:textId="4C478AD7" w:rsidR="00C7698A" w:rsidRPr="007A5E01" w:rsidRDefault="00C7698A" w:rsidP="004E7B01">
      <w:pPr>
        <w:spacing w:line="480" w:lineRule="auto"/>
        <w:rPr>
          <w:rFonts w:ascii="Times New Roman" w:hAnsi="Times New Roman" w:cs="Times New Roman"/>
        </w:rPr>
      </w:pPr>
      <w:r w:rsidRPr="007A5E01">
        <w:rPr>
          <w:rFonts w:ascii="Times New Roman" w:hAnsi="Times New Roman" w:cs="Times New Roman"/>
        </w:rPr>
        <w:t xml:space="preserve">Prior research on corporate political strategy has addressed a number of ownership </w:t>
      </w:r>
      <w:r w:rsidR="00B1587D">
        <w:rPr>
          <w:rFonts w:ascii="Times New Roman" w:hAnsi="Times New Roman" w:cs="Times New Roman"/>
        </w:rPr>
        <w:t>structures that explain why companie</w:t>
      </w:r>
      <w:r w:rsidRPr="007A5E01">
        <w:rPr>
          <w:rFonts w:ascii="Times New Roman" w:hAnsi="Times New Roman" w:cs="Times New Roman"/>
        </w:rPr>
        <w:t>s pursue political action. This stream of research ha</w:t>
      </w:r>
      <w:r w:rsidR="00B1587D">
        <w:rPr>
          <w:rFonts w:ascii="Times New Roman" w:hAnsi="Times New Roman" w:cs="Times New Roman"/>
        </w:rPr>
        <w:t>s built on the premise that companie</w:t>
      </w:r>
      <w:r w:rsidRPr="007A5E01">
        <w:rPr>
          <w:rFonts w:ascii="Times New Roman" w:hAnsi="Times New Roman" w:cs="Times New Roman"/>
        </w:rPr>
        <w:t>s with varying ownership structures will have different preferences for corporate political strategy.  Hadani (2007) focuses on founding family ownership and fi</w:t>
      </w:r>
      <w:r w:rsidR="00B1587D">
        <w:rPr>
          <w:rFonts w:ascii="Times New Roman" w:hAnsi="Times New Roman" w:cs="Times New Roman"/>
        </w:rPr>
        <w:t>nds that founders of family companie</w:t>
      </w:r>
      <w:r w:rsidRPr="007A5E01">
        <w:rPr>
          <w:rFonts w:ascii="Times New Roman" w:hAnsi="Times New Roman" w:cs="Times New Roman"/>
        </w:rPr>
        <w:t>s tend to engage in corporate political strategy. In a different study, Hadani (2012) examines the different aspects of institutional ownership and finds that instit</w:t>
      </w:r>
      <w:r w:rsidR="00B1587D">
        <w:rPr>
          <w:rFonts w:ascii="Times New Roman" w:hAnsi="Times New Roman" w:cs="Times New Roman"/>
        </w:rPr>
        <w:t>utional owners affect their companie</w:t>
      </w:r>
      <w:r w:rsidRPr="007A5E01">
        <w:rPr>
          <w:rFonts w:ascii="Times New Roman" w:hAnsi="Times New Roman" w:cs="Times New Roman"/>
        </w:rPr>
        <w:t xml:space="preserve">s’ pursuit of corporate political strategy. Ozer and Alakent (2013) study the impact of institutional ownership and insider ownership on corporate political strategy and indicate that the </w:t>
      </w:r>
      <w:r w:rsidR="00B1587D">
        <w:rPr>
          <w:rFonts w:ascii="Times New Roman" w:hAnsi="Times New Roman" w:cs="Times New Roman"/>
        </w:rPr>
        <w:t>ownership structure affects companie</w:t>
      </w:r>
      <w:r w:rsidRPr="007A5E01">
        <w:rPr>
          <w:rFonts w:ascii="Times New Roman" w:hAnsi="Times New Roman" w:cs="Times New Roman"/>
        </w:rPr>
        <w:t>s’ propensity to be politically active. By studying politi</w:t>
      </w:r>
      <w:r w:rsidR="00B1587D">
        <w:rPr>
          <w:rFonts w:ascii="Times New Roman" w:hAnsi="Times New Roman" w:cs="Times New Roman"/>
        </w:rPr>
        <w:t>cians’ stock ownership in a company</w:t>
      </w:r>
      <w:r w:rsidRPr="007A5E01">
        <w:rPr>
          <w:rFonts w:ascii="Times New Roman" w:hAnsi="Times New Roman" w:cs="Times New Roman"/>
        </w:rPr>
        <w:t>, Ridge, Hill, and Ingram (2016) provide evidence that politicians’ stock ownersh</w:t>
      </w:r>
      <w:r w:rsidR="00B1587D">
        <w:rPr>
          <w:rFonts w:ascii="Times New Roman" w:hAnsi="Times New Roman" w:cs="Times New Roman"/>
        </w:rPr>
        <w:t>ip impacts the intensity of companies</w:t>
      </w:r>
      <w:r w:rsidRPr="007A5E01">
        <w:rPr>
          <w:rFonts w:ascii="Times New Roman" w:hAnsi="Times New Roman" w:cs="Times New Roman"/>
        </w:rPr>
        <w:t xml:space="preserve">’ lobbying activities. Min and You (2015) examine the impact of corporate political spending on shareholder activism and find that public pension funds as shareholders submit more shareholder proposals regarding corporate political spending. Albuquerque and his </w:t>
      </w:r>
      <w:r w:rsidR="00B1587D">
        <w:rPr>
          <w:rFonts w:ascii="Times New Roman" w:hAnsi="Times New Roman" w:cs="Times New Roman"/>
        </w:rPr>
        <w:t>colleagues (2015) study how companie</w:t>
      </w:r>
      <w:r w:rsidRPr="007A5E01">
        <w:rPr>
          <w:rFonts w:ascii="Times New Roman" w:hAnsi="Times New Roman" w:cs="Times New Roman"/>
        </w:rPr>
        <w:t>s adjust their political activism in response to the Supreme Court ruling on Citizens United v. FEC and find that instituti</w:t>
      </w:r>
      <w:r w:rsidR="00B1587D">
        <w:rPr>
          <w:rFonts w:ascii="Times New Roman" w:hAnsi="Times New Roman" w:cs="Times New Roman"/>
        </w:rPr>
        <w:t xml:space="preserve">onal investors </w:t>
      </w:r>
      <w:r w:rsidR="00B1587D">
        <w:rPr>
          <w:rFonts w:ascii="Times New Roman" w:hAnsi="Times New Roman" w:cs="Times New Roman"/>
        </w:rPr>
        <w:lastRenderedPageBreak/>
        <w:t>prefer their companie</w:t>
      </w:r>
      <w:r w:rsidRPr="007A5E01">
        <w:rPr>
          <w:rFonts w:ascii="Times New Roman" w:hAnsi="Times New Roman" w:cs="Times New Roman"/>
        </w:rPr>
        <w:t>s not to increase their political expenditures after this new rulin</w:t>
      </w:r>
      <w:r w:rsidR="00B1587D">
        <w:rPr>
          <w:rFonts w:ascii="Times New Roman" w:hAnsi="Times New Roman" w:cs="Times New Roman"/>
        </w:rPr>
        <w:t>g which lifts prior bans on companie</w:t>
      </w:r>
      <w:r w:rsidRPr="007A5E01">
        <w:rPr>
          <w:rFonts w:ascii="Times New Roman" w:hAnsi="Times New Roman" w:cs="Times New Roman"/>
        </w:rPr>
        <w:t>s to use their treasury to advocate in favor or against a political candidate on a federal electio</w:t>
      </w:r>
      <w:r w:rsidR="00BB0004" w:rsidRPr="007A5E01">
        <w:rPr>
          <w:rFonts w:ascii="Times New Roman" w:hAnsi="Times New Roman" w:cs="Times New Roman"/>
        </w:rPr>
        <w:t>n</w:t>
      </w:r>
      <w:r w:rsidRPr="007A5E01">
        <w:rPr>
          <w:rFonts w:ascii="Times New Roman" w:hAnsi="Times New Roman" w:cs="Times New Roman"/>
        </w:rPr>
        <w:t xml:space="preserve">. </w:t>
      </w:r>
    </w:p>
    <w:p w14:paraId="0F5A1E26" w14:textId="77777777" w:rsidR="001F37F4" w:rsidRDefault="00AE7B5B" w:rsidP="004E7B01">
      <w:pPr>
        <w:pStyle w:val="p1"/>
        <w:spacing w:line="480" w:lineRule="auto"/>
        <w:ind w:firstLine="720"/>
        <w:rPr>
          <w:rFonts w:ascii="Times New Roman" w:eastAsiaTheme="minorEastAsia" w:hAnsi="Times New Roman" w:cs="Times New Roman"/>
          <w:color w:val="auto"/>
          <w:sz w:val="24"/>
          <w:szCs w:val="24"/>
        </w:rPr>
      </w:pPr>
      <w:r w:rsidRPr="007A5E01">
        <w:rPr>
          <w:rFonts w:ascii="Times New Roman" w:eastAsiaTheme="minorEastAsia" w:hAnsi="Times New Roman" w:cs="Times New Roman"/>
          <w:color w:val="auto"/>
          <w:sz w:val="24"/>
          <w:szCs w:val="24"/>
        </w:rPr>
        <w:t xml:space="preserve">Although there have been many studies that focus on institutional, family and stockownership </w:t>
      </w:r>
      <w:r w:rsidR="00B21ECE" w:rsidRPr="007A5E01">
        <w:rPr>
          <w:rFonts w:ascii="Times New Roman" w:eastAsiaTheme="minorEastAsia" w:hAnsi="Times New Roman" w:cs="Times New Roman"/>
          <w:color w:val="auto"/>
          <w:sz w:val="24"/>
          <w:szCs w:val="24"/>
        </w:rPr>
        <w:t xml:space="preserve">on political strategies, </w:t>
      </w:r>
      <w:r w:rsidRPr="007A5E01">
        <w:rPr>
          <w:rFonts w:ascii="Times New Roman" w:eastAsiaTheme="minorEastAsia" w:hAnsi="Times New Roman" w:cs="Times New Roman"/>
          <w:color w:val="auto"/>
          <w:sz w:val="24"/>
          <w:szCs w:val="24"/>
        </w:rPr>
        <w:t>venture capital funding as a form of ownership remains relatively unexplored. This oversight is quite surprising given that today’s most successful and high-profile technology companies such as Apple Inc., Google, Intel, Tesla and Uber were founded via VC backing (Gomez-Mejia, Balkin &amp; Welboume, 1990).</w:t>
      </w:r>
      <w:r w:rsidR="00B21ECE" w:rsidRPr="007A5E01">
        <w:rPr>
          <w:rFonts w:ascii="Times New Roman" w:eastAsiaTheme="minorEastAsia" w:hAnsi="Times New Roman" w:cs="Times New Roman"/>
          <w:color w:val="auto"/>
          <w:sz w:val="24"/>
          <w:szCs w:val="24"/>
        </w:rPr>
        <w:t xml:space="preserve"> Venture capital financing is different from bank finance because it provides funding for unproven technologies t</w:t>
      </w:r>
      <w:r w:rsidR="00D2089C">
        <w:rPr>
          <w:rFonts w:ascii="Times New Roman" w:eastAsiaTheme="minorEastAsia" w:hAnsi="Times New Roman" w:cs="Times New Roman"/>
          <w:color w:val="auto"/>
          <w:sz w:val="24"/>
          <w:szCs w:val="24"/>
        </w:rPr>
        <w:t>hat are highly risky and to companie</w:t>
      </w:r>
      <w:r w:rsidR="00B21ECE" w:rsidRPr="007A5E01">
        <w:rPr>
          <w:rFonts w:ascii="Times New Roman" w:eastAsiaTheme="minorEastAsia" w:hAnsi="Times New Roman" w:cs="Times New Roman"/>
          <w:color w:val="auto"/>
          <w:sz w:val="24"/>
          <w:szCs w:val="24"/>
        </w:rPr>
        <w:t xml:space="preserve">s that do not have </w:t>
      </w:r>
      <w:r w:rsidR="00261086">
        <w:rPr>
          <w:rFonts w:ascii="Times New Roman" w:eastAsiaTheme="minorEastAsia" w:hAnsi="Times New Roman" w:cs="Times New Roman"/>
          <w:color w:val="auto"/>
          <w:sz w:val="24"/>
          <w:szCs w:val="24"/>
        </w:rPr>
        <w:t>adequate internal cash flow. Established c</w:t>
      </w:r>
      <w:r w:rsidR="00B21ECE" w:rsidRPr="007A5E01">
        <w:rPr>
          <w:rFonts w:ascii="Times New Roman" w:eastAsiaTheme="minorEastAsia" w:hAnsi="Times New Roman" w:cs="Times New Roman"/>
          <w:color w:val="auto"/>
          <w:sz w:val="24"/>
          <w:szCs w:val="24"/>
        </w:rPr>
        <w:t xml:space="preserve">ompanies that manufacture wind turbines or solar panels can finance their projects and firms through bank financing however many start-ups in the energy production, transportation and energy storage that have undeveloped technologies seek VC funding (Ghosh &amp; Nanda 2010). </w:t>
      </w:r>
    </w:p>
    <w:p w14:paraId="23C2D9CC" w14:textId="77777777" w:rsidR="001F37F4" w:rsidRDefault="0094551F" w:rsidP="004E7B01">
      <w:pPr>
        <w:pStyle w:val="p1"/>
        <w:spacing w:line="480" w:lineRule="auto"/>
        <w:ind w:firstLine="720"/>
        <w:rPr>
          <w:rFonts w:ascii="Times New Roman" w:eastAsiaTheme="minorEastAsia" w:hAnsi="Times New Roman" w:cs="Times New Roman"/>
          <w:color w:val="auto"/>
          <w:sz w:val="24"/>
          <w:szCs w:val="24"/>
        </w:rPr>
      </w:pPr>
      <w:r w:rsidRPr="007A5E01">
        <w:rPr>
          <w:rFonts w:ascii="Times New Roman" w:eastAsiaTheme="minorEastAsia" w:hAnsi="Times New Roman" w:cs="Times New Roman"/>
          <w:color w:val="auto"/>
          <w:sz w:val="24"/>
          <w:szCs w:val="24"/>
        </w:rPr>
        <w:t>Under these circumstances</w:t>
      </w:r>
      <w:r w:rsidR="00B21ECE" w:rsidRPr="007A5E01">
        <w:rPr>
          <w:rFonts w:ascii="Times New Roman" w:eastAsiaTheme="minorEastAsia" w:hAnsi="Times New Roman" w:cs="Times New Roman"/>
          <w:color w:val="auto"/>
          <w:sz w:val="24"/>
          <w:szCs w:val="24"/>
        </w:rPr>
        <w:t>, government relations can play an important role. Since VC investments take place in predominantly risky and unproven industries</w:t>
      </w:r>
      <w:r w:rsidR="004306CA" w:rsidRPr="007A5E01">
        <w:rPr>
          <w:rFonts w:ascii="Times New Roman" w:eastAsiaTheme="minorEastAsia" w:hAnsi="Times New Roman" w:cs="Times New Roman"/>
          <w:color w:val="auto"/>
          <w:sz w:val="24"/>
          <w:szCs w:val="24"/>
        </w:rPr>
        <w:t xml:space="preserve"> </w:t>
      </w:r>
      <w:r w:rsidR="004306CA" w:rsidRPr="00E339E4">
        <w:rPr>
          <w:rFonts w:ascii="Times New Roman" w:hAnsi="Times New Roman" w:cs="Times New Roman"/>
          <w:sz w:val="24"/>
          <w:szCs w:val="24"/>
        </w:rPr>
        <w:t xml:space="preserve">(Amit, Brander &amp; Zott, 1998; </w:t>
      </w:r>
      <w:r w:rsidR="00647D77">
        <w:t xml:space="preserve">Gompers, </w:t>
      </w:r>
      <w:r w:rsidR="00BA5009">
        <w:t xml:space="preserve">1995; </w:t>
      </w:r>
      <w:r w:rsidR="004306CA" w:rsidRPr="00E339E4">
        <w:rPr>
          <w:rFonts w:ascii="Times New Roman" w:hAnsi="Times New Roman" w:cs="Times New Roman"/>
          <w:sz w:val="24"/>
          <w:szCs w:val="24"/>
        </w:rPr>
        <w:t>Ueda, 2004)</w:t>
      </w:r>
      <w:r w:rsidR="00B21ECE" w:rsidRPr="007A5E01">
        <w:rPr>
          <w:rFonts w:ascii="Times New Roman" w:eastAsiaTheme="minorEastAsia" w:hAnsi="Times New Roman" w:cs="Times New Roman"/>
          <w:color w:val="auto"/>
          <w:sz w:val="24"/>
          <w:szCs w:val="24"/>
        </w:rPr>
        <w:t xml:space="preserve">, government incentives and favorable public policy can significantly </w:t>
      </w:r>
      <w:r w:rsidR="003B1EF1">
        <w:rPr>
          <w:rFonts w:ascii="Times New Roman" w:eastAsiaTheme="minorEastAsia" w:hAnsi="Times New Roman" w:cs="Times New Roman"/>
          <w:color w:val="auto"/>
          <w:sz w:val="24"/>
          <w:szCs w:val="24"/>
        </w:rPr>
        <w:t>reduce risks and increase returns in those industries</w:t>
      </w:r>
      <w:r w:rsidR="00B21ECE" w:rsidRPr="007A5E01">
        <w:rPr>
          <w:rFonts w:ascii="Times New Roman" w:eastAsiaTheme="minorEastAsia" w:hAnsi="Times New Roman" w:cs="Times New Roman"/>
          <w:color w:val="auto"/>
          <w:sz w:val="24"/>
          <w:szCs w:val="24"/>
        </w:rPr>
        <w:t xml:space="preserve">. </w:t>
      </w:r>
      <w:r w:rsidR="00DC689D" w:rsidRPr="007A5E01">
        <w:rPr>
          <w:rFonts w:ascii="Times New Roman" w:eastAsiaTheme="minorEastAsia" w:hAnsi="Times New Roman" w:cs="Times New Roman"/>
          <w:color w:val="auto"/>
          <w:sz w:val="24"/>
          <w:szCs w:val="24"/>
        </w:rPr>
        <w:t>For example, according to Ghosh and Nanda (2010), d</w:t>
      </w:r>
      <w:r w:rsidR="00B21ECE" w:rsidRPr="007A5E01">
        <w:rPr>
          <w:rFonts w:ascii="Times New Roman" w:eastAsiaTheme="minorEastAsia" w:hAnsi="Times New Roman" w:cs="Times New Roman"/>
          <w:color w:val="auto"/>
          <w:sz w:val="24"/>
          <w:szCs w:val="24"/>
        </w:rPr>
        <w:t>ue to “valley of death” that exists in the clean energy sector start-up funding, government needs to get involved. Government needs to jumpstart the M&amp;A market for clean energy start-ups and provide incentives in the upstream funding of clean energy start-ups by venture capital firms. Government can</w:t>
      </w:r>
      <w:r w:rsidR="00DC689D" w:rsidRPr="007A5E01">
        <w:rPr>
          <w:rFonts w:ascii="Times New Roman" w:eastAsiaTheme="minorEastAsia" w:hAnsi="Times New Roman" w:cs="Times New Roman"/>
          <w:color w:val="auto"/>
          <w:sz w:val="24"/>
          <w:szCs w:val="24"/>
        </w:rPr>
        <w:t xml:space="preserve"> </w:t>
      </w:r>
      <w:r w:rsidR="00DC689D" w:rsidRPr="007A5E01">
        <w:rPr>
          <w:rFonts w:ascii="Times New Roman" w:eastAsiaTheme="minorEastAsia" w:hAnsi="Times New Roman" w:cs="Times New Roman"/>
          <w:color w:val="auto"/>
          <w:sz w:val="24"/>
          <w:szCs w:val="24"/>
        </w:rPr>
        <w:lastRenderedPageBreak/>
        <w:t>also</w:t>
      </w:r>
      <w:r w:rsidR="00B21ECE" w:rsidRPr="007A5E01">
        <w:rPr>
          <w:rFonts w:ascii="Times New Roman" w:eastAsiaTheme="minorEastAsia" w:hAnsi="Times New Roman" w:cs="Times New Roman"/>
          <w:color w:val="auto"/>
          <w:sz w:val="24"/>
          <w:szCs w:val="24"/>
        </w:rPr>
        <w:t xml:space="preserve"> make exit easier for start-ups. First, government can establish stable, long-term, and predictable policy measures that stimulates demand for clean energy. </w:t>
      </w:r>
    </w:p>
    <w:p w14:paraId="3A9727C9" w14:textId="052A1F89" w:rsidR="000540FF" w:rsidRPr="007A5E01" w:rsidRDefault="00B21ECE" w:rsidP="004E7B01">
      <w:pPr>
        <w:pStyle w:val="p1"/>
        <w:spacing w:line="480" w:lineRule="auto"/>
        <w:ind w:firstLine="720"/>
        <w:rPr>
          <w:rFonts w:ascii="Times New Roman" w:eastAsiaTheme="minorEastAsia" w:hAnsi="Times New Roman" w:cs="Times New Roman"/>
          <w:color w:val="auto"/>
          <w:sz w:val="24"/>
          <w:szCs w:val="24"/>
        </w:rPr>
      </w:pPr>
      <w:r w:rsidRPr="007A5E01">
        <w:rPr>
          <w:rFonts w:ascii="Times New Roman" w:eastAsiaTheme="minorEastAsia" w:hAnsi="Times New Roman" w:cs="Times New Roman"/>
          <w:color w:val="auto"/>
          <w:sz w:val="24"/>
          <w:szCs w:val="24"/>
        </w:rPr>
        <w:t xml:space="preserve">Second, government can stimulate the M&amp;A activity in the clean energy sector. Third, government can establish public-private partnership funds </w:t>
      </w:r>
      <w:r w:rsidR="00F142E2" w:rsidRPr="007A5E01">
        <w:rPr>
          <w:rFonts w:ascii="Times New Roman" w:eastAsiaTheme="minorEastAsia" w:hAnsi="Times New Roman" w:cs="Times New Roman"/>
          <w:color w:val="auto"/>
          <w:sz w:val="24"/>
          <w:szCs w:val="24"/>
        </w:rPr>
        <w:t>that can help with the first commercial testing or as mechanisms that effectively compete with incumbents (Ghosh &amp; Nanda 2010).</w:t>
      </w:r>
      <w:r w:rsidR="000540FF" w:rsidRPr="007A5E01">
        <w:rPr>
          <w:rFonts w:ascii="Times New Roman" w:eastAsiaTheme="minorEastAsia" w:hAnsi="Times New Roman" w:cs="Times New Roman"/>
          <w:color w:val="auto"/>
          <w:sz w:val="24"/>
          <w:szCs w:val="24"/>
        </w:rPr>
        <w:t xml:space="preserve"> </w:t>
      </w:r>
      <w:r w:rsidR="00EB10EF">
        <w:rPr>
          <w:rFonts w:ascii="Times New Roman" w:eastAsiaTheme="minorEastAsia" w:hAnsi="Times New Roman" w:cs="Times New Roman"/>
          <w:color w:val="auto"/>
          <w:sz w:val="24"/>
          <w:szCs w:val="24"/>
        </w:rPr>
        <w:t>According to Ridge, Ingram and Hill (2017)</w:t>
      </w:r>
      <w:r w:rsidR="007D44D4">
        <w:rPr>
          <w:rFonts w:ascii="Times New Roman" w:eastAsiaTheme="minorEastAsia" w:hAnsi="Times New Roman" w:cs="Times New Roman"/>
          <w:color w:val="auto"/>
          <w:sz w:val="24"/>
          <w:szCs w:val="24"/>
        </w:rPr>
        <w:t xml:space="preserve"> political connectedness helps </w:t>
      </w:r>
      <w:r w:rsidR="003F6E91">
        <w:t>companie</w:t>
      </w:r>
      <w:r w:rsidR="003B1EF1">
        <w:rPr>
          <w:rFonts w:ascii="Times New Roman" w:eastAsiaTheme="minorEastAsia" w:hAnsi="Times New Roman" w:cs="Times New Roman"/>
          <w:color w:val="auto"/>
          <w:sz w:val="24"/>
          <w:szCs w:val="24"/>
        </w:rPr>
        <w:t xml:space="preserve">s gain access to government information such as the progress of potentially market changing public policy that can alter industry dynamics </w:t>
      </w:r>
      <w:r w:rsidR="00B301D8" w:rsidRPr="00B301D8">
        <w:rPr>
          <w:rFonts w:ascii="Times New Roman" w:hAnsi="Times New Roman"/>
          <w:sz w:val="24"/>
          <w:szCs w:val="24"/>
        </w:rPr>
        <w:t>(Jensen, Forsythe, &amp; Salant, 2005)</w:t>
      </w:r>
      <w:r w:rsidR="007D44D4">
        <w:rPr>
          <w:rFonts w:ascii="Times New Roman" w:eastAsiaTheme="minorEastAsia" w:hAnsi="Times New Roman" w:cs="Times New Roman"/>
          <w:color w:val="auto"/>
          <w:sz w:val="24"/>
          <w:szCs w:val="24"/>
        </w:rPr>
        <w:t>.</w:t>
      </w:r>
      <w:r w:rsidR="00EB10EF">
        <w:rPr>
          <w:rFonts w:ascii="Times New Roman" w:eastAsiaTheme="minorEastAsia" w:hAnsi="Times New Roman" w:cs="Times New Roman"/>
          <w:color w:val="auto"/>
          <w:sz w:val="24"/>
          <w:szCs w:val="24"/>
        </w:rPr>
        <w:t xml:space="preserve"> </w:t>
      </w:r>
      <w:r w:rsidR="000540FF" w:rsidRPr="007A5E01">
        <w:rPr>
          <w:rFonts w:ascii="Times New Roman" w:eastAsiaTheme="minorEastAsia" w:hAnsi="Times New Roman" w:cs="Times New Roman"/>
          <w:color w:val="auto"/>
          <w:sz w:val="24"/>
          <w:szCs w:val="24"/>
        </w:rPr>
        <w:t xml:space="preserve">Therefore, companies can gain significantly from lobbying in these sectors. </w:t>
      </w:r>
    </w:p>
    <w:p w14:paraId="2B95776F" w14:textId="77777777" w:rsidR="001F37F4" w:rsidRDefault="0094551F" w:rsidP="004E7B01">
      <w:pPr>
        <w:pStyle w:val="p1"/>
        <w:spacing w:line="480" w:lineRule="auto"/>
        <w:ind w:firstLine="720"/>
        <w:rPr>
          <w:rFonts w:ascii="Times New Roman" w:eastAsiaTheme="minorEastAsia" w:hAnsi="Times New Roman" w:cs="Times New Roman"/>
          <w:color w:val="auto"/>
          <w:sz w:val="24"/>
          <w:szCs w:val="24"/>
        </w:rPr>
      </w:pPr>
      <w:r w:rsidRPr="007A5E01">
        <w:rPr>
          <w:rFonts w:ascii="Times New Roman" w:eastAsiaTheme="minorEastAsia" w:hAnsi="Times New Roman" w:cs="Times New Roman"/>
          <w:color w:val="auto"/>
          <w:sz w:val="24"/>
          <w:szCs w:val="24"/>
        </w:rPr>
        <w:t xml:space="preserve">Since venture capital investments and special relationship between VC firms and their companies play an important role in shaping organizational structures and strategies, we are interested in exploring how public companies that received venture capital would shape their political strategies. </w:t>
      </w:r>
    </w:p>
    <w:p w14:paraId="6FA33AA2" w14:textId="77777777" w:rsidR="001F37F4" w:rsidRDefault="000540FF" w:rsidP="004E7B01">
      <w:pPr>
        <w:pStyle w:val="p1"/>
        <w:spacing w:line="480" w:lineRule="auto"/>
        <w:ind w:firstLine="720"/>
        <w:rPr>
          <w:rFonts w:ascii="Times New Roman" w:eastAsiaTheme="minorEastAsia" w:hAnsi="Times New Roman" w:cs="Times New Roman"/>
          <w:color w:val="auto"/>
          <w:sz w:val="24"/>
          <w:szCs w:val="24"/>
        </w:rPr>
      </w:pPr>
      <w:r w:rsidRPr="007C6FF2">
        <w:rPr>
          <w:rFonts w:ascii="Times New Roman" w:eastAsiaTheme="minorEastAsia" w:hAnsi="Times New Roman" w:cs="Times New Roman"/>
          <w:color w:val="auto"/>
          <w:sz w:val="24"/>
          <w:szCs w:val="24"/>
        </w:rPr>
        <w:t xml:space="preserve">According to the </w:t>
      </w:r>
      <w:r w:rsidR="003F6E91">
        <w:rPr>
          <w:rFonts w:ascii="Times New Roman" w:eastAsiaTheme="minorEastAsia" w:hAnsi="Times New Roman" w:cs="Times New Roman"/>
          <w:color w:val="auto"/>
          <w:sz w:val="24"/>
          <w:szCs w:val="24"/>
        </w:rPr>
        <w:t>resource dependency theory, companie</w:t>
      </w:r>
      <w:r w:rsidRPr="007C6FF2">
        <w:rPr>
          <w:rFonts w:ascii="Times New Roman" w:eastAsiaTheme="minorEastAsia" w:hAnsi="Times New Roman" w:cs="Times New Roman"/>
          <w:color w:val="auto"/>
          <w:sz w:val="24"/>
          <w:szCs w:val="24"/>
        </w:rPr>
        <w:t>s rely on external actors to the extent that these actors provide critical resources (Pfeffer &amp; Salancik, 1978). Companies that are backed by VC firms heavily depend on their VCs for critical resources such as continued financial backing, manag</w:t>
      </w:r>
      <w:r w:rsidR="00B87C28" w:rsidRPr="007C6FF2">
        <w:rPr>
          <w:rFonts w:ascii="Times New Roman" w:eastAsiaTheme="minorEastAsia" w:hAnsi="Times New Roman" w:cs="Times New Roman"/>
          <w:color w:val="auto"/>
          <w:sz w:val="24"/>
          <w:szCs w:val="24"/>
        </w:rPr>
        <w:t xml:space="preserve">ement expertise, technical expertise and </w:t>
      </w:r>
      <w:r w:rsidR="004306CA" w:rsidRPr="007C6FF2">
        <w:rPr>
          <w:rFonts w:ascii="Times New Roman" w:eastAsiaTheme="minorEastAsia" w:hAnsi="Times New Roman" w:cs="Times New Roman"/>
          <w:color w:val="auto"/>
          <w:sz w:val="24"/>
          <w:szCs w:val="24"/>
        </w:rPr>
        <w:t>credible certification for start-ups via their ties with potential investors and suppliers (Megginson &amp; Weiss, 1991)</w:t>
      </w:r>
      <w:r w:rsidR="00B87C28" w:rsidRPr="007C6FF2">
        <w:rPr>
          <w:rFonts w:ascii="Times New Roman" w:eastAsiaTheme="minorEastAsia" w:hAnsi="Times New Roman" w:cs="Times New Roman"/>
          <w:color w:val="auto"/>
          <w:sz w:val="24"/>
          <w:szCs w:val="24"/>
        </w:rPr>
        <w:t>. VC firms do not only provide</w:t>
      </w:r>
      <w:r w:rsidR="003F6E91">
        <w:rPr>
          <w:rFonts w:ascii="Times New Roman" w:eastAsiaTheme="minorEastAsia" w:hAnsi="Times New Roman" w:cs="Times New Roman"/>
          <w:color w:val="auto"/>
          <w:sz w:val="24"/>
          <w:szCs w:val="24"/>
        </w:rPr>
        <w:t xml:space="preserve"> a significant portion of their portfolio companies</w:t>
      </w:r>
      <w:r w:rsidR="00B87C28" w:rsidRPr="007C6FF2">
        <w:rPr>
          <w:rFonts w:ascii="Times New Roman" w:eastAsiaTheme="minorEastAsia" w:hAnsi="Times New Roman" w:cs="Times New Roman"/>
          <w:color w:val="auto"/>
          <w:sz w:val="24"/>
          <w:szCs w:val="24"/>
        </w:rPr>
        <w:t xml:space="preserve">’ seed funding, they also claim a </w:t>
      </w:r>
      <w:r w:rsidR="004306CA" w:rsidRPr="007C6FF2">
        <w:rPr>
          <w:rFonts w:ascii="Times New Roman" w:eastAsiaTheme="minorEastAsia" w:hAnsi="Times New Roman" w:cs="Times New Roman"/>
          <w:color w:val="auto"/>
          <w:sz w:val="24"/>
          <w:szCs w:val="24"/>
        </w:rPr>
        <w:t xml:space="preserve">seat on their boards (Davis &amp; Cobb, 2010) in order to voice their opinions during key strategic decisions, provide </w:t>
      </w:r>
      <w:r w:rsidR="00B87C28" w:rsidRPr="007C6FF2">
        <w:rPr>
          <w:rFonts w:ascii="Times New Roman" w:eastAsiaTheme="minorEastAsia" w:hAnsi="Times New Roman" w:cs="Times New Roman"/>
          <w:color w:val="auto"/>
          <w:sz w:val="24"/>
          <w:szCs w:val="24"/>
        </w:rPr>
        <w:t>han</w:t>
      </w:r>
      <w:r w:rsidR="004306CA" w:rsidRPr="007C6FF2">
        <w:rPr>
          <w:rFonts w:ascii="Times New Roman" w:eastAsiaTheme="minorEastAsia" w:hAnsi="Times New Roman" w:cs="Times New Roman"/>
          <w:color w:val="auto"/>
          <w:sz w:val="24"/>
          <w:szCs w:val="24"/>
        </w:rPr>
        <w:t>ds on coaching and consulting to</w:t>
      </w:r>
      <w:r w:rsidR="00B87C28" w:rsidRPr="007C6FF2">
        <w:rPr>
          <w:rFonts w:ascii="Times New Roman" w:eastAsiaTheme="minorEastAsia" w:hAnsi="Times New Roman" w:cs="Times New Roman"/>
          <w:color w:val="auto"/>
          <w:sz w:val="24"/>
          <w:szCs w:val="24"/>
        </w:rPr>
        <w:t xml:space="preserve"> their portfolio companies. From t</w:t>
      </w:r>
      <w:r w:rsidR="00312CD6" w:rsidRPr="007C6FF2">
        <w:rPr>
          <w:rFonts w:ascii="Times New Roman" w:eastAsiaTheme="minorEastAsia" w:hAnsi="Times New Roman" w:cs="Times New Roman"/>
          <w:color w:val="auto"/>
          <w:sz w:val="24"/>
          <w:szCs w:val="24"/>
        </w:rPr>
        <w:t xml:space="preserve">he VC firm perspective, they </w:t>
      </w:r>
      <w:r w:rsidR="00312CD6" w:rsidRPr="007C6FF2">
        <w:rPr>
          <w:rFonts w:ascii="Times New Roman" w:eastAsiaTheme="minorEastAsia" w:hAnsi="Times New Roman" w:cs="Times New Roman"/>
          <w:color w:val="auto"/>
          <w:sz w:val="24"/>
          <w:szCs w:val="24"/>
        </w:rPr>
        <w:lastRenderedPageBreak/>
        <w:t>aim</w:t>
      </w:r>
      <w:r w:rsidR="00B87C28" w:rsidRPr="007C6FF2">
        <w:rPr>
          <w:rFonts w:ascii="Times New Roman" w:eastAsiaTheme="minorEastAsia" w:hAnsi="Times New Roman" w:cs="Times New Roman"/>
          <w:color w:val="auto"/>
          <w:sz w:val="24"/>
          <w:szCs w:val="24"/>
        </w:rPr>
        <w:t xml:space="preserve"> to exit from an investment in 10 years and they favor projects that establishes a finan</w:t>
      </w:r>
      <w:r w:rsidR="004306CA" w:rsidRPr="007C6FF2">
        <w:rPr>
          <w:rFonts w:ascii="Times New Roman" w:eastAsiaTheme="minorEastAsia" w:hAnsi="Times New Roman" w:cs="Times New Roman"/>
          <w:color w:val="auto"/>
          <w:sz w:val="24"/>
          <w:szCs w:val="24"/>
        </w:rPr>
        <w:t>cial viability within 3-5 years (Ghosh &amp; Nanda 2010).</w:t>
      </w:r>
      <w:r w:rsidR="00B87C28" w:rsidRPr="007C6FF2">
        <w:rPr>
          <w:rFonts w:ascii="Times New Roman" w:eastAsiaTheme="minorEastAsia" w:hAnsi="Times New Roman" w:cs="Times New Roman"/>
          <w:color w:val="auto"/>
          <w:sz w:val="24"/>
          <w:szCs w:val="24"/>
        </w:rPr>
        <w:t xml:space="preserve"> Thus, VC firms invest in a wide portfolio of companies that they can exit in a short period of time with a high return on their investment. </w:t>
      </w:r>
    </w:p>
    <w:p w14:paraId="6B97D125" w14:textId="640D4B91" w:rsidR="002C127D" w:rsidRPr="007C6FF2" w:rsidRDefault="004306CA" w:rsidP="004E7B01">
      <w:pPr>
        <w:pStyle w:val="p1"/>
        <w:spacing w:line="480" w:lineRule="auto"/>
        <w:ind w:firstLine="720"/>
        <w:rPr>
          <w:rFonts w:ascii="Times New Roman" w:eastAsiaTheme="minorEastAsia" w:hAnsi="Times New Roman" w:cs="Times New Roman"/>
          <w:color w:val="auto"/>
          <w:sz w:val="24"/>
          <w:szCs w:val="24"/>
        </w:rPr>
      </w:pPr>
      <w:r w:rsidRPr="007C6FF2">
        <w:rPr>
          <w:rFonts w:ascii="Times New Roman" w:eastAsiaTheme="minorEastAsia" w:hAnsi="Times New Roman" w:cs="Times New Roman"/>
          <w:color w:val="auto"/>
          <w:sz w:val="24"/>
          <w:szCs w:val="24"/>
        </w:rPr>
        <w:t xml:space="preserve">Another important factor increasing the VC firm’s leverage is the scarcity of alternative funding for entrepreneurial ventures, particularly during the earlier establishment stages. </w:t>
      </w:r>
      <w:r w:rsidR="00B87C28" w:rsidRPr="007C6FF2">
        <w:rPr>
          <w:rFonts w:ascii="Times New Roman" w:eastAsiaTheme="minorEastAsia" w:hAnsi="Times New Roman" w:cs="Times New Roman"/>
          <w:color w:val="auto"/>
          <w:sz w:val="24"/>
          <w:szCs w:val="24"/>
        </w:rPr>
        <w:t xml:space="preserve">This approach requires very close supervision and imposing short term financial goals with their portfolio companies. </w:t>
      </w:r>
      <w:r w:rsidR="00312CD6" w:rsidRPr="007C6FF2">
        <w:rPr>
          <w:rFonts w:ascii="Times New Roman" w:eastAsiaTheme="minorEastAsia" w:hAnsi="Times New Roman" w:cs="Times New Roman"/>
          <w:color w:val="auto"/>
          <w:sz w:val="24"/>
          <w:szCs w:val="24"/>
        </w:rPr>
        <w:t>On the other hand, entrepreneurs receive funding in stages instead of a lump sum amount at the beginning of the venture which encourages them to please the VC firm and ensure future funding. This</w:t>
      </w:r>
      <w:r w:rsidR="00B87C28" w:rsidRPr="007C6FF2">
        <w:rPr>
          <w:rFonts w:ascii="Times New Roman" w:eastAsiaTheme="minorEastAsia" w:hAnsi="Times New Roman" w:cs="Times New Roman"/>
          <w:color w:val="auto"/>
          <w:sz w:val="24"/>
          <w:szCs w:val="24"/>
        </w:rPr>
        <w:t xml:space="preserve"> mutual benefit </w:t>
      </w:r>
      <w:r w:rsidR="00312CD6" w:rsidRPr="007C6FF2">
        <w:rPr>
          <w:rFonts w:ascii="Times New Roman" w:eastAsiaTheme="minorEastAsia" w:hAnsi="Times New Roman" w:cs="Times New Roman"/>
          <w:color w:val="auto"/>
          <w:sz w:val="24"/>
          <w:szCs w:val="24"/>
        </w:rPr>
        <w:t xml:space="preserve">seeking </w:t>
      </w:r>
      <w:r w:rsidR="00B87C28" w:rsidRPr="007C6FF2">
        <w:rPr>
          <w:rFonts w:ascii="Times New Roman" w:eastAsiaTheme="minorEastAsia" w:hAnsi="Times New Roman" w:cs="Times New Roman"/>
          <w:color w:val="auto"/>
          <w:sz w:val="24"/>
          <w:szCs w:val="24"/>
        </w:rPr>
        <w:t xml:space="preserve">and time constraints </w:t>
      </w:r>
      <w:r w:rsidR="00312CD6" w:rsidRPr="007C6FF2">
        <w:rPr>
          <w:rFonts w:ascii="Times New Roman" w:eastAsiaTheme="minorEastAsia" w:hAnsi="Times New Roman" w:cs="Times New Roman"/>
          <w:color w:val="auto"/>
          <w:sz w:val="24"/>
          <w:szCs w:val="24"/>
        </w:rPr>
        <w:t xml:space="preserve">to achieve financial performance goals </w:t>
      </w:r>
      <w:r w:rsidR="003F6E91">
        <w:rPr>
          <w:rFonts w:ascii="Times New Roman" w:eastAsiaTheme="minorEastAsia" w:hAnsi="Times New Roman" w:cs="Times New Roman"/>
          <w:color w:val="auto"/>
          <w:sz w:val="24"/>
          <w:szCs w:val="24"/>
        </w:rPr>
        <w:t>create resource dependencies</w:t>
      </w:r>
      <w:r w:rsidR="00B87C28" w:rsidRPr="007C6FF2">
        <w:rPr>
          <w:rFonts w:ascii="Times New Roman" w:eastAsiaTheme="minorEastAsia" w:hAnsi="Times New Roman" w:cs="Times New Roman"/>
          <w:color w:val="auto"/>
          <w:sz w:val="24"/>
          <w:szCs w:val="24"/>
        </w:rPr>
        <w:t xml:space="preserve"> between VC firms and their portfolio companies.</w:t>
      </w:r>
      <w:r w:rsidR="0094551F" w:rsidRPr="007C6FF2">
        <w:rPr>
          <w:rFonts w:ascii="Times New Roman" w:eastAsiaTheme="minorEastAsia" w:hAnsi="Times New Roman" w:cs="Times New Roman"/>
          <w:color w:val="auto"/>
          <w:sz w:val="24"/>
          <w:szCs w:val="24"/>
        </w:rPr>
        <w:t xml:space="preserve"> </w:t>
      </w:r>
    </w:p>
    <w:p w14:paraId="4711AC17" w14:textId="77777777" w:rsidR="001F37F4" w:rsidRDefault="004306CA" w:rsidP="004E7B01">
      <w:pPr>
        <w:pStyle w:val="NormalWeb"/>
        <w:spacing w:line="480" w:lineRule="auto"/>
        <w:ind w:firstLine="720"/>
        <w:rPr>
          <w:rFonts w:eastAsia="Times New Roman"/>
        </w:rPr>
      </w:pPr>
      <w:r w:rsidRPr="002C127D">
        <w:t xml:space="preserve">In our study, we explore the political strategies of public companies that have received VC funding during their </w:t>
      </w:r>
      <w:r w:rsidR="003F6E91">
        <w:t>early stages</w:t>
      </w:r>
      <w:r w:rsidRPr="002C127D">
        <w:t xml:space="preserve">. Although our study takes place after the IPO and </w:t>
      </w:r>
      <w:r w:rsidR="005A3881">
        <w:t>there</w:t>
      </w:r>
      <w:r w:rsidRPr="002C127D">
        <w:t xml:space="preserve"> </w:t>
      </w:r>
      <w:r w:rsidR="005A3881">
        <w:t xml:space="preserve">are </w:t>
      </w:r>
      <w:r w:rsidRPr="002C127D">
        <w:t xml:space="preserve">established </w:t>
      </w:r>
      <w:r w:rsidR="005A3881">
        <w:t>companies in our</w:t>
      </w:r>
      <w:r w:rsidRPr="002C127D">
        <w:t xml:space="preserve"> sample</w:t>
      </w:r>
      <w:r w:rsidR="00312CD6" w:rsidRPr="002C127D">
        <w:t>,</w:t>
      </w:r>
      <w:r w:rsidRPr="002C127D">
        <w:t xml:space="preserve"> we believe that </w:t>
      </w:r>
      <w:r w:rsidR="00691AF2" w:rsidRPr="002C127D">
        <w:t xml:space="preserve">having received VC funding </w:t>
      </w:r>
      <w:r w:rsidR="00312CD6" w:rsidRPr="002C127D">
        <w:t xml:space="preserve">during early stages </w:t>
      </w:r>
      <w:r w:rsidR="00691AF2" w:rsidRPr="002C127D">
        <w:t xml:space="preserve">will have long lasting effects on the structure of these companies. </w:t>
      </w:r>
      <w:r w:rsidR="00312CD6" w:rsidRPr="002C127D">
        <w:t xml:space="preserve">We base our assumptions on the organizational imprinting theory. </w:t>
      </w:r>
      <w:r w:rsidR="00691AF2" w:rsidRPr="002C127D">
        <w:t>The imprinting theory first articulated by Stinchcombe (1965) argues that fi</w:t>
      </w:r>
      <w:r w:rsidR="00980720" w:rsidRPr="002C127D">
        <w:t xml:space="preserve">rms are heavily influenced by </w:t>
      </w:r>
      <w:r w:rsidR="00CF7970" w:rsidRPr="002C127D">
        <w:t>the specific technological, economic, political and cultural resources available during early stages of establishment (Johnson, 2007)</w:t>
      </w:r>
      <w:r w:rsidR="00691AF2" w:rsidRPr="002C127D">
        <w:t>.</w:t>
      </w:r>
      <w:r w:rsidR="003C668E" w:rsidRPr="002C127D">
        <w:t xml:space="preserve"> Particular organizational structures and practices that are adopted during early years influence the overarching character of new organizations.</w:t>
      </w:r>
      <w:r w:rsidR="00691AF2" w:rsidRPr="002C127D">
        <w:t xml:space="preserve"> </w:t>
      </w:r>
      <w:r w:rsidR="00691AF2" w:rsidRPr="002C127D">
        <w:rPr>
          <w:rFonts w:eastAsia="Times New Roman"/>
        </w:rPr>
        <w:t xml:space="preserve">Imprinting occurs when an organization is most susceptible to environmental influences, such as the early founding years (Johnson, 2007; </w:t>
      </w:r>
      <w:r w:rsidR="00691AF2" w:rsidRPr="002C127D">
        <w:rPr>
          <w:rFonts w:eastAsia="Times New Roman"/>
        </w:rPr>
        <w:lastRenderedPageBreak/>
        <w:t>Marquis &amp; Tilcsik, 2013). This time is very critical in forming long-lasting organizational routines and structures. Stinchcombe’s 1965 essay argues that initial organizational structures are deeply influenced by external factors and these patterns persist for a long time.</w:t>
      </w:r>
      <w:r w:rsidR="003C668E" w:rsidRPr="002C127D">
        <w:rPr>
          <w:rFonts w:eastAsia="Times New Roman"/>
        </w:rPr>
        <w:t xml:space="preserve"> This theory argues that observed organizational diversity is not a result of past adaptation to environmental changes but of the contextual variation </w:t>
      </w:r>
      <w:r w:rsidR="00F712E2" w:rsidRPr="002C127D">
        <w:rPr>
          <w:rFonts w:eastAsia="Times New Roman"/>
        </w:rPr>
        <w:t xml:space="preserve">in terms of economic, political, technological and social environment </w:t>
      </w:r>
      <w:r w:rsidR="003C668E" w:rsidRPr="002C127D">
        <w:rPr>
          <w:rFonts w:eastAsia="Times New Roman"/>
        </w:rPr>
        <w:t xml:space="preserve">within which organizations are founded. </w:t>
      </w:r>
      <w:r w:rsidR="002F0642" w:rsidRPr="002C127D">
        <w:rPr>
          <w:rFonts w:eastAsia="Times New Roman"/>
        </w:rPr>
        <w:t xml:space="preserve"> The reason why these organizations maintain their founding structures</w:t>
      </w:r>
      <w:r w:rsidR="005F60FF">
        <w:rPr>
          <w:rFonts w:eastAsia="Times New Roman"/>
        </w:rPr>
        <w:t xml:space="preserve"> for a long time</w:t>
      </w:r>
      <w:r w:rsidR="002F0642" w:rsidRPr="002C127D">
        <w:rPr>
          <w:rFonts w:eastAsia="Times New Roman"/>
        </w:rPr>
        <w:t xml:space="preserve"> can be due to efficiency or organizational inertia (</w:t>
      </w:r>
      <w:r w:rsidR="00172278" w:rsidRPr="002C127D">
        <w:rPr>
          <w:rFonts w:eastAsia="Times New Roman"/>
        </w:rPr>
        <w:t xml:space="preserve">Hannan &amp; Freeman, </w:t>
      </w:r>
      <w:r w:rsidR="00FB39E1" w:rsidRPr="002C127D">
        <w:rPr>
          <w:rFonts w:eastAsia="Times New Roman"/>
        </w:rPr>
        <w:t>1984</w:t>
      </w:r>
      <w:r w:rsidR="003112C2" w:rsidRPr="002C127D">
        <w:rPr>
          <w:rFonts w:eastAsia="Times New Roman"/>
        </w:rPr>
        <w:t xml:space="preserve">). According to Johnson (2007) key stakeholders such as </w:t>
      </w:r>
      <w:r w:rsidR="009E10A5" w:rsidRPr="002C127D">
        <w:rPr>
          <w:rFonts w:eastAsia="Times New Roman"/>
        </w:rPr>
        <w:t>venture capitalists, philanthropists, legislators, and corporate lawyer</w:t>
      </w:r>
      <w:r w:rsidR="00F712E2" w:rsidRPr="002C127D">
        <w:rPr>
          <w:rFonts w:eastAsia="Times New Roman"/>
        </w:rPr>
        <w:t>s</w:t>
      </w:r>
      <w:r w:rsidR="009E10A5" w:rsidRPr="002C127D">
        <w:rPr>
          <w:rFonts w:eastAsia="Times New Roman"/>
        </w:rPr>
        <w:t xml:space="preserve"> may play a significant role in determining which elements from an organization’s environment will be incorporated in the initial stages of imprinting.</w:t>
      </w:r>
      <w:r w:rsidR="00650726">
        <w:rPr>
          <w:rFonts w:eastAsia="Times New Roman"/>
        </w:rPr>
        <w:t xml:space="preserve"> </w:t>
      </w:r>
    </w:p>
    <w:p w14:paraId="49D162E3" w14:textId="260128B0" w:rsidR="00BA5CD9" w:rsidRPr="00670396" w:rsidRDefault="00650726" w:rsidP="004E7B01">
      <w:pPr>
        <w:pStyle w:val="NormalWeb"/>
        <w:spacing w:line="480" w:lineRule="auto"/>
        <w:ind w:firstLine="720"/>
      </w:pPr>
      <w:r>
        <w:rPr>
          <w:rFonts w:eastAsia="Times New Roman"/>
        </w:rPr>
        <w:t xml:space="preserve">We believe that companies that receive VC funding will form an organizational culture that </w:t>
      </w:r>
      <w:r w:rsidR="00A953FD">
        <w:rPr>
          <w:rFonts w:eastAsia="Times New Roman"/>
        </w:rPr>
        <w:t>prioritizes meeting short term targets which contradicts long term nature of political strategies</w:t>
      </w:r>
      <w:r>
        <w:t>.</w:t>
      </w:r>
      <w:r>
        <w:rPr>
          <w:rFonts w:eastAsia="Times New Roman"/>
        </w:rPr>
        <w:t xml:space="preserve"> </w:t>
      </w:r>
      <w:r w:rsidR="00A72A80">
        <w:rPr>
          <w:rFonts w:eastAsia="Times New Roman"/>
        </w:rPr>
        <w:t>VCs use a staged funding structure</w:t>
      </w:r>
      <w:r>
        <w:rPr>
          <w:rFonts w:eastAsia="Times New Roman"/>
        </w:rPr>
        <w:t xml:space="preserve">. </w:t>
      </w:r>
      <w:r w:rsidR="000B78CC" w:rsidRPr="002C127D">
        <w:t>During every stage</w:t>
      </w:r>
      <w:r w:rsidR="00BA5CD9" w:rsidRPr="002C127D">
        <w:t>,</w:t>
      </w:r>
      <w:r w:rsidR="000B78CC" w:rsidRPr="002C127D">
        <w:t xml:space="preserve"> companies must meet certain performance targets. The continuity of funding is contingent on meeting targets that heavily depend on technology development, production efficiency, and return on investment. This creates a high-pressure and short-term oriented culture at VC-backed companies. While companies funded through </w:t>
      </w:r>
      <w:r w:rsidR="000C70BA">
        <w:t xml:space="preserve">internal financing, </w:t>
      </w:r>
      <w:r w:rsidR="000B78CC" w:rsidRPr="002C127D">
        <w:t>commercial banks or other financial resources might afford to have a long-term</w:t>
      </w:r>
      <w:r w:rsidR="00BA5CD9" w:rsidRPr="000E33A5">
        <w:t xml:space="preserve"> outlook</w:t>
      </w:r>
      <w:r w:rsidR="000B78CC" w:rsidRPr="00E339E4">
        <w:t xml:space="preserve">, short-term and performance-oriented thinking </w:t>
      </w:r>
      <w:r w:rsidR="000B78CC" w:rsidRPr="000E5813">
        <w:t xml:space="preserve">imprinted during the early founding stages might not allow </w:t>
      </w:r>
      <w:r w:rsidR="00BA5CD9" w:rsidRPr="000E5813">
        <w:t>investing in political strategies th</w:t>
      </w:r>
      <w:r w:rsidR="00BA5CD9" w:rsidRPr="00B935AF">
        <w:t>at are long-term and high risk in nature. VC backed companies that depend on VC firms for funding are highly motivated to act in such a way that lead to high returns in short periods.</w:t>
      </w:r>
    </w:p>
    <w:p w14:paraId="1AD882BB" w14:textId="29D78513" w:rsidR="00BA5CD9" w:rsidRPr="00670396" w:rsidRDefault="009E4B79" w:rsidP="004E7B01">
      <w:pPr>
        <w:pStyle w:val="p1"/>
        <w:spacing w:line="480" w:lineRule="auto"/>
        <w:rPr>
          <w:rFonts w:ascii="Times New Roman" w:hAnsi="Times New Roman" w:cs="Times New Roman"/>
          <w:i/>
          <w:sz w:val="24"/>
          <w:szCs w:val="24"/>
        </w:rPr>
      </w:pPr>
      <w:r w:rsidRPr="00670396">
        <w:rPr>
          <w:rFonts w:ascii="Times New Roman" w:hAnsi="Times New Roman" w:cs="Times New Roman"/>
          <w:i/>
          <w:sz w:val="24"/>
          <w:szCs w:val="24"/>
        </w:rPr>
        <w:lastRenderedPageBreak/>
        <w:t>H1. VC-</w:t>
      </w:r>
      <w:r w:rsidR="00BA5CD9" w:rsidRPr="00670396">
        <w:rPr>
          <w:rFonts w:ascii="Times New Roman" w:hAnsi="Times New Roman" w:cs="Times New Roman"/>
          <w:i/>
          <w:sz w:val="24"/>
          <w:szCs w:val="24"/>
        </w:rPr>
        <w:t xml:space="preserve">backed companies invest less </w:t>
      </w:r>
      <w:r w:rsidR="0094551F" w:rsidRPr="00670396">
        <w:rPr>
          <w:rFonts w:ascii="Times New Roman" w:hAnsi="Times New Roman" w:cs="Times New Roman"/>
          <w:i/>
          <w:sz w:val="24"/>
          <w:szCs w:val="24"/>
        </w:rPr>
        <w:t xml:space="preserve">in </w:t>
      </w:r>
      <w:r w:rsidR="00BA5CD9" w:rsidRPr="00670396">
        <w:rPr>
          <w:rFonts w:ascii="Times New Roman" w:hAnsi="Times New Roman" w:cs="Times New Roman"/>
          <w:i/>
          <w:sz w:val="24"/>
          <w:szCs w:val="24"/>
        </w:rPr>
        <w:t>lobbying expenditures.</w:t>
      </w:r>
    </w:p>
    <w:p w14:paraId="01AF99A8" w14:textId="77777777" w:rsidR="00A27FE0" w:rsidRPr="00670396" w:rsidRDefault="00A27FE0" w:rsidP="004E7B01">
      <w:pPr>
        <w:pStyle w:val="p1"/>
        <w:spacing w:line="480" w:lineRule="auto"/>
        <w:rPr>
          <w:rFonts w:ascii="Times New Roman" w:hAnsi="Times New Roman" w:cs="Times New Roman"/>
          <w:sz w:val="24"/>
          <w:szCs w:val="24"/>
        </w:rPr>
      </w:pPr>
    </w:p>
    <w:p w14:paraId="7F754020" w14:textId="77777777" w:rsidR="001F37F4" w:rsidRDefault="00A27FE0" w:rsidP="004E7B01">
      <w:pPr>
        <w:pStyle w:val="p1"/>
        <w:spacing w:line="480" w:lineRule="auto"/>
        <w:ind w:firstLine="720"/>
        <w:rPr>
          <w:rFonts w:ascii="Times New Roman" w:hAnsi="Times New Roman" w:cs="Times New Roman"/>
          <w:sz w:val="24"/>
          <w:szCs w:val="24"/>
        </w:rPr>
      </w:pPr>
      <w:r w:rsidRPr="00670396">
        <w:rPr>
          <w:rFonts w:ascii="Times New Roman" w:hAnsi="Times New Roman" w:cs="Times New Roman"/>
          <w:sz w:val="24"/>
          <w:szCs w:val="24"/>
        </w:rPr>
        <w:t>Although VC backing might have a negative impact on lobbying, we expect that</w:t>
      </w:r>
      <w:r w:rsidR="005A3881">
        <w:rPr>
          <w:rFonts w:ascii="Times New Roman" w:hAnsi="Times New Roman" w:cs="Times New Roman"/>
          <w:sz w:val="24"/>
          <w:szCs w:val="24"/>
        </w:rPr>
        <w:t xml:space="preserve"> a company</w:t>
      </w:r>
      <w:r w:rsidR="00E339E4">
        <w:rPr>
          <w:rFonts w:ascii="Times New Roman" w:hAnsi="Times New Roman" w:cs="Times New Roman"/>
          <w:sz w:val="24"/>
          <w:szCs w:val="24"/>
        </w:rPr>
        <w:t xml:space="preserve">’s R&amp;D intensity </w:t>
      </w:r>
      <w:r w:rsidR="00091FD2" w:rsidRPr="00E339E4">
        <w:rPr>
          <w:rFonts w:ascii="Times New Roman" w:hAnsi="Times New Roman" w:cs="Times New Roman"/>
          <w:sz w:val="24"/>
          <w:szCs w:val="24"/>
        </w:rPr>
        <w:t xml:space="preserve">can moderate this relationship. </w:t>
      </w:r>
      <w:r w:rsidR="00DE4313">
        <w:rPr>
          <w:rFonts w:ascii="Times New Roman" w:hAnsi="Times New Roman" w:cs="Times New Roman"/>
          <w:sz w:val="24"/>
          <w:szCs w:val="24"/>
        </w:rPr>
        <w:t xml:space="preserve">Previous literature examined the effect of R&amp;D intensity and lobbying </w:t>
      </w:r>
      <w:r w:rsidR="000E0938" w:rsidRPr="000E0938">
        <w:rPr>
          <w:rFonts w:ascii="Times New Roman" w:hAnsi="Times New Roman" w:cs="Times New Roman"/>
          <w:sz w:val="24"/>
          <w:szCs w:val="24"/>
        </w:rPr>
        <w:t>(</w:t>
      </w:r>
      <w:r w:rsidR="007431D4">
        <w:rPr>
          <w:rFonts w:ascii="Times New Roman" w:hAnsi="Times New Roman" w:cs="Times New Roman"/>
          <w:sz w:val="24"/>
          <w:szCs w:val="24"/>
        </w:rPr>
        <w:t xml:space="preserve">Hillman, 2005; </w:t>
      </w:r>
      <w:r w:rsidR="000E0938" w:rsidRPr="000E0938">
        <w:rPr>
          <w:rFonts w:ascii="Times New Roman" w:hAnsi="Times New Roman" w:cs="Times New Roman"/>
          <w:sz w:val="24"/>
          <w:szCs w:val="24"/>
        </w:rPr>
        <w:t xml:space="preserve">Alexander et al., 2009) </w:t>
      </w:r>
      <w:r w:rsidR="00DE4313">
        <w:rPr>
          <w:rFonts w:ascii="Times New Roman" w:hAnsi="Times New Roman" w:cs="Times New Roman"/>
          <w:sz w:val="24"/>
          <w:szCs w:val="24"/>
        </w:rPr>
        <w:t xml:space="preserve">and </w:t>
      </w:r>
      <w:r w:rsidR="00FA525A">
        <w:rPr>
          <w:rFonts w:ascii="Times New Roman" w:hAnsi="Times New Roman" w:cs="Times New Roman"/>
          <w:sz w:val="24"/>
          <w:szCs w:val="24"/>
        </w:rPr>
        <w:t xml:space="preserve">the </w:t>
      </w:r>
      <w:r w:rsidR="00DE4313">
        <w:rPr>
          <w:rFonts w:ascii="Times New Roman" w:hAnsi="Times New Roman" w:cs="Times New Roman"/>
          <w:sz w:val="24"/>
          <w:szCs w:val="24"/>
        </w:rPr>
        <w:t>joint effect of lobbying and R&amp;D intensity</w:t>
      </w:r>
      <w:r w:rsidR="000E0938">
        <w:rPr>
          <w:rFonts w:ascii="Times New Roman" w:hAnsi="Times New Roman" w:cs="Times New Roman"/>
          <w:sz w:val="24"/>
          <w:szCs w:val="24"/>
        </w:rPr>
        <w:t xml:space="preserve"> (Lockhart &amp; Unlu, 2018)</w:t>
      </w:r>
      <w:r w:rsidR="005A3881">
        <w:rPr>
          <w:rFonts w:ascii="Times New Roman" w:hAnsi="Times New Roman" w:cs="Times New Roman"/>
          <w:sz w:val="24"/>
          <w:szCs w:val="24"/>
        </w:rPr>
        <w:t xml:space="preserve"> on company</w:t>
      </w:r>
      <w:r w:rsidR="00DE4313">
        <w:rPr>
          <w:rFonts w:ascii="Times New Roman" w:hAnsi="Times New Roman" w:cs="Times New Roman"/>
          <w:sz w:val="24"/>
          <w:szCs w:val="24"/>
        </w:rPr>
        <w:t xml:space="preserve"> performance. </w:t>
      </w:r>
      <w:r w:rsidR="000A51D9">
        <w:rPr>
          <w:rFonts w:ascii="Times New Roman" w:hAnsi="Times New Roman" w:cs="Times New Roman"/>
          <w:sz w:val="24"/>
          <w:szCs w:val="24"/>
        </w:rPr>
        <w:t>Most of these studies argue that lobbying alone doesn’t lead to positive performance returns and moderating factors such as R&amp;D play a significant role (</w:t>
      </w:r>
      <w:r w:rsidR="00DC56B8" w:rsidRPr="00DC56B8">
        <w:rPr>
          <w:rFonts w:ascii="Times New Roman" w:hAnsi="Times New Roman" w:cs="Times New Roman"/>
          <w:sz w:val="24"/>
          <w:szCs w:val="24"/>
        </w:rPr>
        <w:t>Ridge, Ingram &amp; Hill, 2017</w:t>
      </w:r>
      <w:r w:rsidR="00DC56B8">
        <w:rPr>
          <w:rFonts w:ascii="Times New Roman" w:hAnsi="Times New Roman" w:cs="Times New Roman"/>
          <w:sz w:val="24"/>
          <w:szCs w:val="24"/>
        </w:rPr>
        <w:t xml:space="preserve">, </w:t>
      </w:r>
      <w:r w:rsidR="000A51D9">
        <w:rPr>
          <w:rFonts w:ascii="Times New Roman" w:hAnsi="Times New Roman" w:cs="Times New Roman"/>
          <w:sz w:val="24"/>
          <w:szCs w:val="24"/>
        </w:rPr>
        <w:t>Chen, Parsley and Yang, 2015</w:t>
      </w:r>
      <w:r w:rsidR="00841B68">
        <w:rPr>
          <w:rFonts w:ascii="Times New Roman" w:hAnsi="Times New Roman" w:cs="Times New Roman"/>
          <w:sz w:val="24"/>
          <w:szCs w:val="24"/>
        </w:rPr>
        <w:t xml:space="preserve">; </w:t>
      </w:r>
      <w:r w:rsidR="000331CB">
        <w:rPr>
          <w:rFonts w:ascii="Times New Roman" w:hAnsi="Times New Roman" w:cs="Times New Roman"/>
          <w:sz w:val="24"/>
          <w:szCs w:val="24"/>
        </w:rPr>
        <w:t>Cao et., 2018</w:t>
      </w:r>
      <w:r w:rsidR="000A51D9">
        <w:rPr>
          <w:rFonts w:ascii="Times New Roman" w:hAnsi="Times New Roman" w:cs="Times New Roman"/>
          <w:sz w:val="24"/>
          <w:szCs w:val="24"/>
        </w:rPr>
        <w:t>).</w:t>
      </w:r>
      <w:r w:rsidR="00091FD2" w:rsidRPr="00E339E4">
        <w:rPr>
          <w:rFonts w:ascii="Times New Roman" w:hAnsi="Times New Roman" w:cs="Times New Roman"/>
          <w:sz w:val="24"/>
          <w:szCs w:val="24"/>
        </w:rPr>
        <w:t xml:space="preserve"> We </w:t>
      </w:r>
      <w:r w:rsidR="005A3881">
        <w:rPr>
          <w:rFonts w:ascii="Times New Roman" w:hAnsi="Times New Roman" w:cs="Times New Roman"/>
          <w:sz w:val="24"/>
          <w:szCs w:val="24"/>
        </w:rPr>
        <w:t>expect that VC backed companies</w:t>
      </w:r>
      <w:r w:rsidR="000E5813">
        <w:rPr>
          <w:rFonts w:ascii="Times New Roman" w:hAnsi="Times New Roman" w:cs="Times New Roman"/>
          <w:sz w:val="24"/>
          <w:szCs w:val="24"/>
        </w:rPr>
        <w:t xml:space="preserve"> that spend more on R&amp;D would lobby more</w:t>
      </w:r>
      <w:r w:rsidR="00091FD2" w:rsidRPr="00E339E4">
        <w:rPr>
          <w:rFonts w:ascii="Times New Roman" w:hAnsi="Times New Roman" w:cs="Times New Roman"/>
          <w:sz w:val="24"/>
          <w:szCs w:val="24"/>
        </w:rPr>
        <w:t xml:space="preserve"> for two reasons.  First, R&amp;D investment is a long</w:t>
      </w:r>
      <w:r w:rsidR="00C579D7" w:rsidRPr="00E339E4">
        <w:rPr>
          <w:rFonts w:ascii="Times New Roman" w:hAnsi="Times New Roman" w:cs="Times New Roman"/>
          <w:sz w:val="24"/>
          <w:szCs w:val="24"/>
        </w:rPr>
        <w:t xml:space="preserve"> term strategy</w:t>
      </w:r>
      <w:r w:rsidR="000E5813" w:rsidRPr="000E5813">
        <w:rPr>
          <w:rFonts w:ascii="Times New Roman" w:hAnsi="Times New Roman" w:cs="Times New Roman"/>
          <w:sz w:val="24"/>
          <w:szCs w:val="24"/>
        </w:rPr>
        <w:t xml:space="preserve"> with uncertain outcomes (Flammer &amp; Bansal, 2017)</w:t>
      </w:r>
      <w:r w:rsidR="000E5813">
        <w:rPr>
          <w:rFonts w:ascii="Times New Roman" w:hAnsi="Times New Roman" w:cs="Times New Roman"/>
          <w:sz w:val="24"/>
          <w:szCs w:val="24"/>
        </w:rPr>
        <w:t xml:space="preserve">. </w:t>
      </w:r>
      <w:r w:rsidR="00512C58">
        <w:rPr>
          <w:rFonts w:ascii="Times New Roman" w:hAnsi="Times New Roman" w:cs="Times New Roman"/>
          <w:sz w:val="24"/>
          <w:szCs w:val="24"/>
        </w:rPr>
        <w:t>Compa</w:t>
      </w:r>
      <w:r w:rsidR="005A3881">
        <w:rPr>
          <w:rFonts w:ascii="Times New Roman" w:hAnsi="Times New Roman" w:cs="Times New Roman"/>
          <w:sz w:val="24"/>
          <w:szCs w:val="24"/>
        </w:rPr>
        <w:t>nies can spend millions of dollars</w:t>
      </w:r>
      <w:r w:rsidR="00512C58">
        <w:rPr>
          <w:rFonts w:ascii="Times New Roman" w:hAnsi="Times New Roman" w:cs="Times New Roman"/>
          <w:sz w:val="24"/>
          <w:szCs w:val="24"/>
        </w:rPr>
        <w:t xml:space="preserve"> on a new technology that may not pass legal hurdles. </w:t>
      </w:r>
      <w:r w:rsidR="000E5813">
        <w:rPr>
          <w:rFonts w:ascii="Times New Roman" w:hAnsi="Times New Roman" w:cs="Times New Roman"/>
          <w:sz w:val="24"/>
          <w:szCs w:val="24"/>
        </w:rPr>
        <w:t xml:space="preserve">Political strategies can help companies control their </w:t>
      </w:r>
      <w:r w:rsidR="00512C58">
        <w:rPr>
          <w:rFonts w:ascii="Times New Roman" w:hAnsi="Times New Roman" w:cs="Times New Roman"/>
          <w:sz w:val="24"/>
          <w:szCs w:val="24"/>
        </w:rPr>
        <w:t xml:space="preserve">legal </w:t>
      </w:r>
      <w:r w:rsidR="000E5813">
        <w:rPr>
          <w:rFonts w:ascii="Times New Roman" w:hAnsi="Times New Roman" w:cs="Times New Roman"/>
          <w:sz w:val="24"/>
          <w:szCs w:val="24"/>
        </w:rPr>
        <w:t>environment</w:t>
      </w:r>
      <w:r w:rsidR="00512C58">
        <w:rPr>
          <w:rFonts w:ascii="Times New Roman" w:hAnsi="Times New Roman" w:cs="Times New Roman"/>
          <w:sz w:val="24"/>
          <w:szCs w:val="24"/>
        </w:rPr>
        <w:t xml:space="preserve"> and prevent laws that might prohibit </w:t>
      </w:r>
      <w:r w:rsidR="0005332F">
        <w:rPr>
          <w:rFonts w:ascii="Times New Roman" w:hAnsi="Times New Roman" w:cs="Times New Roman"/>
          <w:sz w:val="24"/>
          <w:szCs w:val="24"/>
        </w:rPr>
        <w:t>them from reaping benefits from their R&amp;D investments</w:t>
      </w:r>
      <w:r w:rsidR="000E5813">
        <w:rPr>
          <w:rFonts w:ascii="Times New Roman" w:hAnsi="Times New Roman" w:cs="Times New Roman"/>
          <w:sz w:val="24"/>
          <w:szCs w:val="24"/>
        </w:rPr>
        <w:t>.</w:t>
      </w:r>
      <w:r w:rsidR="00AE0913">
        <w:rPr>
          <w:rFonts w:ascii="Times New Roman" w:hAnsi="Times New Roman" w:cs="Times New Roman"/>
          <w:sz w:val="24"/>
          <w:szCs w:val="24"/>
        </w:rPr>
        <w:t xml:space="preserve"> </w:t>
      </w:r>
      <w:r w:rsidR="005A3881">
        <w:rPr>
          <w:rFonts w:ascii="Times New Roman" w:hAnsi="Times New Roman" w:cs="Times New Roman"/>
          <w:sz w:val="24"/>
          <w:szCs w:val="24"/>
        </w:rPr>
        <w:t>Lobbying can also protect companie</w:t>
      </w:r>
      <w:r w:rsidR="005919EC">
        <w:rPr>
          <w:rFonts w:ascii="Times New Roman" w:hAnsi="Times New Roman" w:cs="Times New Roman"/>
          <w:sz w:val="24"/>
          <w:szCs w:val="24"/>
        </w:rPr>
        <w:t>s from competition</w:t>
      </w:r>
      <w:r w:rsidR="00EC277A">
        <w:rPr>
          <w:rFonts w:ascii="Times New Roman" w:hAnsi="Times New Roman" w:cs="Times New Roman"/>
          <w:sz w:val="24"/>
          <w:szCs w:val="24"/>
        </w:rPr>
        <w:t xml:space="preserve"> by preventing new entry into the market</w:t>
      </w:r>
      <w:r w:rsidR="005919EC">
        <w:rPr>
          <w:rFonts w:ascii="Times New Roman" w:hAnsi="Times New Roman" w:cs="Times New Roman"/>
          <w:sz w:val="24"/>
          <w:szCs w:val="24"/>
        </w:rPr>
        <w:t xml:space="preserve"> (Borghesi &amp; Chang, 2015).</w:t>
      </w:r>
      <w:r w:rsidR="003D209D">
        <w:rPr>
          <w:rFonts w:ascii="Times New Roman" w:hAnsi="Times New Roman" w:cs="Times New Roman"/>
          <w:sz w:val="24"/>
          <w:szCs w:val="24"/>
        </w:rPr>
        <w:t xml:space="preserve"> </w:t>
      </w:r>
      <w:r w:rsidR="000E5813">
        <w:rPr>
          <w:rFonts w:ascii="Times New Roman" w:hAnsi="Times New Roman" w:cs="Times New Roman"/>
          <w:sz w:val="24"/>
          <w:szCs w:val="24"/>
        </w:rPr>
        <w:t xml:space="preserve"> </w:t>
      </w:r>
      <w:r w:rsidR="00C579D7" w:rsidRPr="000E5813">
        <w:rPr>
          <w:rFonts w:ascii="Times New Roman" w:hAnsi="Times New Roman" w:cs="Times New Roman"/>
          <w:sz w:val="24"/>
          <w:szCs w:val="24"/>
        </w:rPr>
        <w:t>Secon</w:t>
      </w:r>
      <w:r w:rsidR="00EC277A">
        <w:rPr>
          <w:rFonts w:ascii="Times New Roman" w:hAnsi="Times New Roman" w:cs="Times New Roman"/>
          <w:sz w:val="24"/>
          <w:szCs w:val="24"/>
        </w:rPr>
        <w:t xml:space="preserve">d, </w:t>
      </w:r>
      <w:r w:rsidR="00C579D7" w:rsidRPr="000E5813">
        <w:rPr>
          <w:rFonts w:ascii="Times New Roman" w:hAnsi="Times New Roman" w:cs="Times New Roman"/>
          <w:sz w:val="24"/>
          <w:szCs w:val="24"/>
        </w:rPr>
        <w:t xml:space="preserve">R&amp;D often leads to disruptive </w:t>
      </w:r>
      <w:r w:rsidR="00406C07">
        <w:rPr>
          <w:rFonts w:ascii="Times New Roman" w:hAnsi="Times New Roman" w:cs="Times New Roman"/>
          <w:sz w:val="24"/>
          <w:szCs w:val="24"/>
        </w:rPr>
        <w:t>innovations that break industry norms and create new industry segments</w:t>
      </w:r>
      <w:r w:rsidR="00C579D7" w:rsidRPr="000E5813">
        <w:rPr>
          <w:rFonts w:ascii="Times New Roman" w:hAnsi="Times New Roman" w:cs="Times New Roman"/>
          <w:sz w:val="24"/>
          <w:szCs w:val="24"/>
        </w:rPr>
        <w:t xml:space="preserve">.  </w:t>
      </w:r>
      <w:r w:rsidR="00EA0875">
        <w:rPr>
          <w:rFonts w:ascii="Times New Roman" w:hAnsi="Times New Roman" w:cs="Times New Roman"/>
          <w:sz w:val="24"/>
          <w:szCs w:val="24"/>
        </w:rPr>
        <w:t xml:space="preserve">According to Cao et. al. (2018) </w:t>
      </w:r>
      <w:r w:rsidR="00BF5C6B">
        <w:rPr>
          <w:rFonts w:ascii="Times New Roman" w:hAnsi="Times New Roman" w:cs="Times New Roman"/>
          <w:sz w:val="24"/>
          <w:szCs w:val="24"/>
        </w:rPr>
        <w:t xml:space="preserve">industries early in the development stage benefit greatly from lobbying. </w:t>
      </w:r>
    </w:p>
    <w:p w14:paraId="48A66BEA" w14:textId="502A10EC" w:rsidR="00A27FE0" w:rsidRPr="000E5813" w:rsidRDefault="005A3881" w:rsidP="004E7B01">
      <w:pPr>
        <w:pStyle w:val="p1"/>
        <w:spacing w:line="480" w:lineRule="auto"/>
        <w:ind w:firstLine="720"/>
        <w:rPr>
          <w:rFonts w:ascii="Times New Roman" w:hAnsi="Times New Roman" w:cs="Times New Roman"/>
          <w:sz w:val="24"/>
          <w:szCs w:val="24"/>
        </w:rPr>
      </w:pPr>
      <w:r>
        <w:rPr>
          <w:rFonts w:ascii="Times New Roman" w:hAnsi="Times New Roman" w:cs="Times New Roman"/>
          <w:sz w:val="24"/>
          <w:szCs w:val="24"/>
        </w:rPr>
        <w:t>Companie</w:t>
      </w:r>
      <w:r w:rsidR="00D715C2">
        <w:rPr>
          <w:rFonts w:ascii="Times New Roman" w:hAnsi="Times New Roman" w:cs="Times New Roman"/>
          <w:sz w:val="24"/>
          <w:szCs w:val="24"/>
        </w:rPr>
        <w:t xml:space="preserve">s in the </w:t>
      </w:r>
      <w:r>
        <w:rPr>
          <w:rFonts w:ascii="Times New Roman" w:hAnsi="Times New Roman" w:cs="Times New Roman"/>
          <w:sz w:val="24"/>
          <w:szCs w:val="24"/>
        </w:rPr>
        <w:t>high-tech</w:t>
      </w:r>
      <w:r w:rsidR="00D715C2">
        <w:rPr>
          <w:rFonts w:ascii="Times New Roman" w:hAnsi="Times New Roman" w:cs="Times New Roman"/>
          <w:sz w:val="24"/>
          <w:szCs w:val="24"/>
        </w:rPr>
        <w:t xml:space="preserve"> industry can be characterized as start-ups, high growth and high volatility. </w:t>
      </w:r>
      <w:r w:rsidR="00C579D7" w:rsidRPr="000E5813">
        <w:rPr>
          <w:rFonts w:ascii="Times New Roman" w:hAnsi="Times New Roman" w:cs="Times New Roman"/>
          <w:sz w:val="24"/>
          <w:szCs w:val="24"/>
        </w:rPr>
        <w:t xml:space="preserve">Such companies </w:t>
      </w:r>
      <w:r w:rsidR="00A10908">
        <w:rPr>
          <w:rFonts w:ascii="Times New Roman" w:hAnsi="Times New Roman" w:cs="Times New Roman"/>
          <w:sz w:val="24"/>
          <w:szCs w:val="24"/>
        </w:rPr>
        <w:t>need capital but due to</w:t>
      </w:r>
      <w:r>
        <w:rPr>
          <w:rFonts w:ascii="Times New Roman" w:hAnsi="Times New Roman" w:cs="Times New Roman"/>
          <w:sz w:val="24"/>
          <w:szCs w:val="24"/>
        </w:rPr>
        <w:t xml:space="preserve"> their</w:t>
      </w:r>
      <w:r w:rsidR="00A10908">
        <w:rPr>
          <w:rFonts w:ascii="Times New Roman" w:hAnsi="Times New Roman" w:cs="Times New Roman"/>
          <w:sz w:val="24"/>
          <w:szCs w:val="24"/>
        </w:rPr>
        <w:t xml:space="preserve"> </w:t>
      </w:r>
      <w:r>
        <w:rPr>
          <w:rFonts w:ascii="Times New Roman" w:hAnsi="Times New Roman" w:cs="Times New Roman"/>
          <w:sz w:val="24"/>
          <w:szCs w:val="24"/>
        </w:rPr>
        <w:t xml:space="preserve">high </w:t>
      </w:r>
      <w:r w:rsidR="00A10908">
        <w:rPr>
          <w:rFonts w:ascii="Times New Roman" w:hAnsi="Times New Roman" w:cs="Times New Roman"/>
          <w:sz w:val="24"/>
          <w:szCs w:val="24"/>
        </w:rPr>
        <w:t xml:space="preserve">risk have limited access </w:t>
      </w:r>
      <w:r w:rsidR="004D28B1">
        <w:rPr>
          <w:rFonts w:ascii="Times New Roman" w:hAnsi="Times New Roman" w:cs="Times New Roman"/>
          <w:sz w:val="24"/>
          <w:szCs w:val="24"/>
        </w:rPr>
        <w:t>to debt financing (Carpenter &amp;</w:t>
      </w:r>
      <w:r w:rsidR="00A10908">
        <w:rPr>
          <w:rFonts w:ascii="Times New Roman" w:hAnsi="Times New Roman" w:cs="Times New Roman"/>
          <w:sz w:val="24"/>
          <w:szCs w:val="24"/>
        </w:rPr>
        <w:t xml:space="preserve"> Peterson, 2002). Politic</w:t>
      </w:r>
      <w:r>
        <w:rPr>
          <w:rFonts w:ascii="Times New Roman" w:hAnsi="Times New Roman" w:cs="Times New Roman"/>
          <w:sz w:val="24"/>
          <w:szCs w:val="24"/>
        </w:rPr>
        <w:t>al influence can increase a company</w:t>
      </w:r>
      <w:r w:rsidR="00A10908">
        <w:rPr>
          <w:rFonts w:ascii="Times New Roman" w:hAnsi="Times New Roman" w:cs="Times New Roman"/>
          <w:sz w:val="24"/>
          <w:szCs w:val="24"/>
        </w:rPr>
        <w:t xml:space="preserve">’s access to debt and equity finance and </w:t>
      </w:r>
      <w:r>
        <w:rPr>
          <w:rFonts w:ascii="Times New Roman" w:hAnsi="Times New Roman" w:cs="Times New Roman"/>
          <w:sz w:val="24"/>
          <w:szCs w:val="24"/>
        </w:rPr>
        <w:t>also</w:t>
      </w:r>
      <w:r w:rsidR="00406C07">
        <w:rPr>
          <w:rFonts w:ascii="Times New Roman" w:hAnsi="Times New Roman" w:cs="Times New Roman"/>
          <w:sz w:val="24"/>
          <w:szCs w:val="24"/>
        </w:rPr>
        <w:t xml:space="preserve"> help them shape la</w:t>
      </w:r>
      <w:r>
        <w:rPr>
          <w:rFonts w:ascii="Times New Roman" w:hAnsi="Times New Roman" w:cs="Times New Roman"/>
          <w:sz w:val="24"/>
          <w:szCs w:val="24"/>
        </w:rPr>
        <w:t>ws, regulations related to</w:t>
      </w:r>
      <w:r w:rsidR="00406C07">
        <w:rPr>
          <w:rFonts w:ascii="Times New Roman" w:hAnsi="Times New Roman" w:cs="Times New Roman"/>
          <w:sz w:val="24"/>
          <w:szCs w:val="24"/>
        </w:rPr>
        <w:t xml:space="preserve"> new industry segments</w:t>
      </w:r>
      <w:r w:rsidR="00C579D7" w:rsidRPr="000E5813">
        <w:rPr>
          <w:rFonts w:ascii="Times New Roman" w:hAnsi="Times New Roman" w:cs="Times New Roman"/>
          <w:sz w:val="24"/>
          <w:szCs w:val="24"/>
        </w:rPr>
        <w:t xml:space="preserve">.  </w:t>
      </w:r>
      <w:r>
        <w:rPr>
          <w:rFonts w:ascii="Times New Roman" w:hAnsi="Times New Roman" w:cs="Times New Roman"/>
          <w:sz w:val="24"/>
          <w:szCs w:val="24"/>
        </w:rPr>
        <w:t>Lockhart and Unlu (2018) fi</w:t>
      </w:r>
      <w:r w:rsidR="0025363E">
        <w:rPr>
          <w:rFonts w:ascii="Times New Roman" w:hAnsi="Times New Roman" w:cs="Times New Roman"/>
          <w:sz w:val="24"/>
          <w:szCs w:val="24"/>
        </w:rPr>
        <w:t>n</w:t>
      </w:r>
      <w:r>
        <w:rPr>
          <w:rFonts w:ascii="Times New Roman" w:hAnsi="Times New Roman" w:cs="Times New Roman"/>
          <w:sz w:val="24"/>
          <w:szCs w:val="24"/>
        </w:rPr>
        <w:t xml:space="preserve">d that </w:t>
      </w:r>
      <w:r>
        <w:rPr>
          <w:rFonts w:ascii="Times New Roman" w:hAnsi="Times New Roman" w:cs="Times New Roman"/>
          <w:sz w:val="24"/>
          <w:szCs w:val="24"/>
        </w:rPr>
        <w:lastRenderedPageBreak/>
        <w:t>companie</w:t>
      </w:r>
      <w:r w:rsidR="00783479">
        <w:rPr>
          <w:rFonts w:ascii="Times New Roman" w:hAnsi="Times New Roman" w:cs="Times New Roman"/>
          <w:sz w:val="24"/>
          <w:szCs w:val="24"/>
        </w:rPr>
        <w:t xml:space="preserve">s that engage in lobbying </w:t>
      </w:r>
      <w:r>
        <w:rPr>
          <w:rFonts w:ascii="Times New Roman" w:hAnsi="Times New Roman" w:cs="Times New Roman"/>
          <w:sz w:val="24"/>
          <w:szCs w:val="24"/>
        </w:rPr>
        <w:t xml:space="preserve">efforts that are </w:t>
      </w:r>
      <w:r w:rsidR="00783479">
        <w:rPr>
          <w:rFonts w:ascii="Times New Roman" w:hAnsi="Times New Roman" w:cs="Times New Roman"/>
          <w:sz w:val="24"/>
          <w:szCs w:val="24"/>
        </w:rPr>
        <w:t xml:space="preserve">targeted towards R&amp;D subsidies subsequently invested more </w:t>
      </w:r>
      <w:r w:rsidR="000A13CF">
        <w:rPr>
          <w:rFonts w:ascii="Times New Roman" w:hAnsi="Times New Roman" w:cs="Times New Roman"/>
          <w:sz w:val="24"/>
          <w:szCs w:val="24"/>
        </w:rPr>
        <w:t xml:space="preserve">in R&amp;D. </w:t>
      </w:r>
      <w:r w:rsidR="00D02841">
        <w:rPr>
          <w:rFonts w:ascii="Times New Roman" w:hAnsi="Times New Roman" w:cs="Times New Roman"/>
          <w:sz w:val="24"/>
          <w:szCs w:val="24"/>
        </w:rPr>
        <w:t>On the other hand, t</w:t>
      </w:r>
      <w:r w:rsidR="000A13CF">
        <w:rPr>
          <w:rFonts w:ascii="Times New Roman" w:hAnsi="Times New Roman" w:cs="Times New Roman"/>
          <w:sz w:val="24"/>
          <w:szCs w:val="24"/>
        </w:rPr>
        <w:t>his</w:t>
      </w:r>
      <w:r w:rsidR="00D02841">
        <w:rPr>
          <w:rFonts w:ascii="Times New Roman" w:hAnsi="Times New Roman" w:cs="Times New Roman"/>
          <w:sz w:val="24"/>
          <w:szCs w:val="24"/>
        </w:rPr>
        <w:t xml:space="preserve"> investment</w:t>
      </w:r>
      <w:r w:rsidR="000A13CF">
        <w:rPr>
          <w:rFonts w:ascii="Times New Roman" w:hAnsi="Times New Roman" w:cs="Times New Roman"/>
          <w:sz w:val="24"/>
          <w:szCs w:val="24"/>
        </w:rPr>
        <w:t xml:space="preserve"> lead to higher cost of borrowing from creditors</w:t>
      </w:r>
      <w:r w:rsidR="00D02841">
        <w:rPr>
          <w:rFonts w:ascii="Times New Roman" w:hAnsi="Times New Roman" w:cs="Times New Roman"/>
          <w:sz w:val="24"/>
          <w:szCs w:val="24"/>
        </w:rPr>
        <w:t xml:space="preserve"> since they view R&amp;D investment</w:t>
      </w:r>
      <w:r w:rsidR="00032BD9">
        <w:rPr>
          <w:rFonts w:ascii="Times New Roman" w:hAnsi="Times New Roman" w:cs="Times New Roman"/>
          <w:sz w:val="24"/>
          <w:szCs w:val="24"/>
        </w:rPr>
        <w:t xml:space="preserve"> </w:t>
      </w:r>
      <w:r w:rsidR="0034393E">
        <w:rPr>
          <w:rFonts w:ascii="Times New Roman" w:hAnsi="Times New Roman" w:cs="Times New Roman"/>
          <w:sz w:val="24"/>
          <w:szCs w:val="24"/>
        </w:rPr>
        <w:t>as highly risky</w:t>
      </w:r>
      <w:r w:rsidR="000A13CF">
        <w:rPr>
          <w:rFonts w:ascii="Times New Roman" w:hAnsi="Times New Roman" w:cs="Times New Roman"/>
          <w:sz w:val="24"/>
          <w:szCs w:val="24"/>
        </w:rPr>
        <w:t>.</w:t>
      </w:r>
      <w:r w:rsidR="0034393E">
        <w:rPr>
          <w:rFonts w:ascii="Times New Roman" w:hAnsi="Times New Roman" w:cs="Times New Roman"/>
          <w:sz w:val="24"/>
          <w:szCs w:val="24"/>
        </w:rPr>
        <w:t xml:space="preserve"> Although </w:t>
      </w:r>
      <w:r>
        <w:rPr>
          <w:rFonts w:ascii="Times New Roman" w:hAnsi="Times New Roman" w:cs="Times New Roman"/>
          <w:sz w:val="24"/>
          <w:szCs w:val="24"/>
        </w:rPr>
        <w:t>equity owners</w:t>
      </w:r>
      <w:r w:rsidR="0034393E">
        <w:rPr>
          <w:rFonts w:ascii="Times New Roman" w:hAnsi="Times New Roman" w:cs="Times New Roman"/>
          <w:sz w:val="24"/>
          <w:szCs w:val="24"/>
        </w:rPr>
        <w:t xml:space="preserve"> have incentive to support R&amp;D investments, creditors bear the downside risk and do not capture the upside returns. In order to protect themselves, cr</w:t>
      </w:r>
      <w:r>
        <w:rPr>
          <w:rFonts w:ascii="Times New Roman" w:hAnsi="Times New Roman" w:cs="Times New Roman"/>
          <w:sz w:val="24"/>
          <w:szCs w:val="24"/>
        </w:rPr>
        <w:t>editors impose stricter terms on</w:t>
      </w:r>
      <w:r w:rsidR="00CF2BE2">
        <w:rPr>
          <w:rFonts w:ascii="Times New Roman" w:hAnsi="Times New Roman" w:cs="Times New Roman"/>
          <w:sz w:val="24"/>
          <w:szCs w:val="24"/>
        </w:rPr>
        <w:t xml:space="preserve"> borrowing. VC firm</w:t>
      </w:r>
      <w:r w:rsidR="0034393E">
        <w:rPr>
          <w:rFonts w:ascii="Times New Roman" w:hAnsi="Times New Roman" w:cs="Times New Roman"/>
          <w:sz w:val="24"/>
          <w:szCs w:val="24"/>
        </w:rPr>
        <w:t xml:space="preserve">s on the other hand hold a large equity in their portfolio companies and can reap positive returns from these risky </w:t>
      </w:r>
      <w:r w:rsidR="00CF2BE2">
        <w:rPr>
          <w:rFonts w:ascii="Times New Roman" w:hAnsi="Times New Roman" w:cs="Times New Roman"/>
          <w:sz w:val="24"/>
          <w:szCs w:val="24"/>
        </w:rPr>
        <w:t xml:space="preserve">R&amp;D </w:t>
      </w:r>
      <w:r w:rsidR="0034393E">
        <w:rPr>
          <w:rFonts w:ascii="Times New Roman" w:hAnsi="Times New Roman" w:cs="Times New Roman"/>
          <w:sz w:val="24"/>
          <w:szCs w:val="24"/>
        </w:rPr>
        <w:t xml:space="preserve">investments. This incentivizes </w:t>
      </w:r>
      <w:r w:rsidR="00CF2BE2">
        <w:rPr>
          <w:rFonts w:ascii="Times New Roman" w:hAnsi="Times New Roman" w:cs="Times New Roman"/>
          <w:sz w:val="24"/>
          <w:szCs w:val="24"/>
        </w:rPr>
        <w:t>VC firms to support</w:t>
      </w:r>
      <w:r w:rsidR="0034393E">
        <w:rPr>
          <w:rFonts w:ascii="Times New Roman" w:hAnsi="Times New Roman" w:cs="Times New Roman"/>
          <w:sz w:val="24"/>
          <w:szCs w:val="24"/>
        </w:rPr>
        <w:t xml:space="preserve"> </w:t>
      </w:r>
      <w:r w:rsidR="00CF2BE2">
        <w:rPr>
          <w:rFonts w:ascii="Times New Roman" w:hAnsi="Times New Roman" w:cs="Times New Roman"/>
          <w:sz w:val="24"/>
          <w:szCs w:val="24"/>
        </w:rPr>
        <w:t xml:space="preserve">lobbying investments </w:t>
      </w:r>
      <w:r w:rsidR="00D02841">
        <w:rPr>
          <w:rFonts w:ascii="Times New Roman" w:hAnsi="Times New Roman" w:cs="Times New Roman"/>
          <w:sz w:val="24"/>
          <w:szCs w:val="24"/>
        </w:rPr>
        <w:t>in R&amp;D intensive</w:t>
      </w:r>
      <w:r w:rsidR="0034393E">
        <w:rPr>
          <w:rFonts w:ascii="Times New Roman" w:hAnsi="Times New Roman" w:cs="Times New Roman"/>
          <w:sz w:val="24"/>
          <w:szCs w:val="24"/>
        </w:rPr>
        <w:t xml:space="preserve"> companies. </w:t>
      </w:r>
      <w:r w:rsidR="00406C07">
        <w:rPr>
          <w:rFonts w:ascii="Times New Roman" w:hAnsi="Times New Roman" w:cs="Times New Roman"/>
          <w:sz w:val="24"/>
          <w:szCs w:val="24"/>
        </w:rPr>
        <w:t xml:space="preserve">Because of these two reasons, we believe R&amp;D strategy and political strategies are complimentary. </w:t>
      </w:r>
    </w:p>
    <w:p w14:paraId="7F1C0C6F" w14:textId="77777777" w:rsidR="00BA5CD9" w:rsidRPr="00B935AF" w:rsidRDefault="00BA5CD9" w:rsidP="004E7B01">
      <w:pPr>
        <w:pStyle w:val="p1"/>
        <w:spacing w:line="480" w:lineRule="auto"/>
        <w:rPr>
          <w:rFonts w:ascii="Times New Roman" w:hAnsi="Times New Roman" w:cs="Times New Roman"/>
          <w:sz w:val="24"/>
          <w:szCs w:val="24"/>
        </w:rPr>
      </w:pPr>
    </w:p>
    <w:p w14:paraId="4F6992FB" w14:textId="5AA897C7" w:rsidR="00BA5CD9" w:rsidRPr="007A5E01" w:rsidRDefault="00BA5CD9" w:rsidP="004E7B01">
      <w:pPr>
        <w:pStyle w:val="p1"/>
        <w:spacing w:line="480" w:lineRule="auto"/>
        <w:rPr>
          <w:rFonts w:ascii="Times New Roman" w:eastAsiaTheme="minorEastAsia" w:hAnsi="Times New Roman" w:cs="Times New Roman"/>
          <w:color w:val="auto"/>
          <w:sz w:val="24"/>
          <w:szCs w:val="24"/>
        </w:rPr>
      </w:pPr>
      <w:r w:rsidRPr="00AE0913">
        <w:rPr>
          <w:rFonts w:ascii="Times New Roman" w:hAnsi="Times New Roman" w:cs="Times New Roman"/>
          <w:i/>
          <w:sz w:val="24"/>
          <w:szCs w:val="24"/>
        </w:rPr>
        <w:t xml:space="preserve">H2. R&amp;D intensity </w:t>
      </w:r>
      <w:r w:rsidR="00C579D7" w:rsidRPr="005919EC">
        <w:rPr>
          <w:rFonts w:ascii="Times New Roman" w:hAnsi="Times New Roman" w:cs="Times New Roman"/>
          <w:i/>
          <w:sz w:val="24"/>
          <w:szCs w:val="24"/>
        </w:rPr>
        <w:t xml:space="preserve">positively </w:t>
      </w:r>
      <w:r w:rsidR="000D469A">
        <w:rPr>
          <w:rFonts w:ascii="Times New Roman" w:hAnsi="Times New Roman" w:cs="Times New Roman"/>
          <w:i/>
          <w:sz w:val="24"/>
          <w:szCs w:val="24"/>
        </w:rPr>
        <w:t>moderates this relationship</w:t>
      </w:r>
      <w:r w:rsidRPr="005919EC">
        <w:rPr>
          <w:rFonts w:ascii="Times New Roman" w:hAnsi="Times New Roman" w:cs="Times New Roman"/>
          <w:i/>
          <w:sz w:val="24"/>
          <w:szCs w:val="24"/>
        </w:rPr>
        <w:t xml:space="preserve">; </w:t>
      </w:r>
      <w:r w:rsidR="009E4B79" w:rsidRPr="005919EC">
        <w:rPr>
          <w:rFonts w:ascii="Times New Roman" w:hAnsi="Times New Roman" w:cs="Times New Roman"/>
          <w:i/>
          <w:sz w:val="24"/>
          <w:szCs w:val="24"/>
        </w:rPr>
        <w:t xml:space="preserve">VC-backed </w:t>
      </w:r>
      <w:r w:rsidR="00D17227">
        <w:rPr>
          <w:rFonts w:ascii="Times New Roman" w:hAnsi="Times New Roman" w:cs="Times New Roman"/>
          <w:i/>
          <w:sz w:val="24"/>
          <w:szCs w:val="24"/>
        </w:rPr>
        <w:t>companie</w:t>
      </w:r>
      <w:r w:rsidRPr="005919EC">
        <w:rPr>
          <w:rFonts w:ascii="Times New Roman" w:hAnsi="Times New Roman" w:cs="Times New Roman"/>
          <w:i/>
          <w:sz w:val="24"/>
          <w:szCs w:val="24"/>
        </w:rPr>
        <w:t>s that have high R&amp;D intensity lobby more</w:t>
      </w:r>
      <w:r w:rsidRPr="00670396">
        <w:rPr>
          <w:rFonts w:ascii="Times New Roman" w:hAnsi="Times New Roman" w:cs="Times New Roman"/>
          <w:sz w:val="24"/>
          <w:szCs w:val="24"/>
        </w:rPr>
        <w:t>.</w:t>
      </w:r>
    </w:p>
    <w:p w14:paraId="12C5E262" w14:textId="77777777" w:rsidR="00AD3AC4" w:rsidRPr="007A5E01" w:rsidRDefault="00AD3AC4" w:rsidP="004E7B01">
      <w:pPr>
        <w:pStyle w:val="p1"/>
        <w:spacing w:line="480" w:lineRule="auto"/>
        <w:rPr>
          <w:rFonts w:ascii="Times New Roman" w:eastAsiaTheme="minorEastAsia" w:hAnsi="Times New Roman" w:cs="Times New Roman"/>
          <w:color w:val="auto"/>
          <w:sz w:val="24"/>
          <w:szCs w:val="24"/>
        </w:rPr>
      </w:pPr>
    </w:p>
    <w:p w14:paraId="4FEF792F" w14:textId="1582B172" w:rsidR="00A03388" w:rsidRPr="007A5E01" w:rsidRDefault="0047476C" w:rsidP="004E7B01">
      <w:pPr>
        <w:spacing w:line="480" w:lineRule="auto"/>
        <w:rPr>
          <w:rFonts w:ascii="Times New Roman" w:hAnsi="Times New Roman" w:cs="Times New Roman"/>
          <w:b/>
        </w:rPr>
      </w:pPr>
      <w:r w:rsidRPr="007A5E01">
        <w:rPr>
          <w:rFonts w:ascii="Times New Roman" w:hAnsi="Times New Roman" w:cs="Times New Roman"/>
          <w:b/>
        </w:rPr>
        <w:t>Methods</w:t>
      </w:r>
    </w:p>
    <w:p w14:paraId="1BA24CE8" w14:textId="77777777" w:rsidR="0047476C" w:rsidRPr="007A5E01" w:rsidRDefault="0047476C" w:rsidP="004E7B01">
      <w:pPr>
        <w:spacing w:line="480" w:lineRule="auto"/>
        <w:rPr>
          <w:rFonts w:ascii="Times New Roman" w:hAnsi="Times New Roman" w:cs="Times New Roman"/>
          <w:b/>
        </w:rPr>
      </w:pPr>
      <w:r w:rsidRPr="007A5E01">
        <w:rPr>
          <w:rFonts w:ascii="Times New Roman" w:hAnsi="Times New Roman" w:cs="Times New Roman"/>
          <w:b/>
        </w:rPr>
        <w:t>Sample</w:t>
      </w:r>
    </w:p>
    <w:p w14:paraId="1EB9C339" w14:textId="4D84B28C" w:rsidR="00452A85" w:rsidRPr="007A5E01" w:rsidRDefault="0068691F" w:rsidP="004E7B01">
      <w:pPr>
        <w:spacing w:line="480" w:lineRule="auto"/>
        <w:rPr>
          <w:rFonts w:ascii="Times New Roman" w:hAnsi="Times New Roman" w:cs="Times New Roman"/>
        </w:rPr>
      </w:pPr>
      <w:r w:rsidRPr="007A5E01">
        <w:rPr>
          <w:rFonts w:ascii="Times New Roman" w:hAnsi="Times New Roman" w:cs="Times New Roman"/>
        </w:rPr>
        <w:t xml:space="preserve">Our sample consists of </w:t>
      </w:r>
      <w:r w:rsidR="000D469A">
        <w:rPr>
          <w:rFonts w:ascii="Times New Roman" w:hAnsi="Times New Roman" w:cs="Times New Roman"/>
        </w:rPr>
        <w:t>VC-backed IPO companie</w:t>
      </w:r>
      <w:r w:rsidR="00050165" w:rsidRPr="007A5E01">
        <w:rPr>
          <w:rFonts w:ascii="Times New Roman" w:hAnsi="Times New Roman" w:cs="Times New Roman"/>
        </w:rPr>
        <w:t xml:space="preserve">s between 1999 and 2014. We used several databases to collect the data.  </w:t>
      </w:r>
      <w:r w:rsidR="00452A85" w:rsidRPr="00E339E4">
        <w:rPr>
          <w:rFonts w:ascii="Times New Roman" w:hAnsi="Times New Roman" w:cs="Times New Roman"/>
        </w:rPr>
        <w:t xml:space="preserve">We collected IPO data from the Securities Data Company (SDC) database. Following </w:t>
      </w:r>
      <w:r w:rsidR="00D07B8F" w:rsidRPr="000E5813">
        <w:rPr>
          <w:rFonts w:ascii="Times New Roman" w:hAnsi="Times New Roman" w:cs="Times New Roman"/>
        </w:rPr>
        <w:t>prior literature</w:t>
      </w:r>
      <w:r w:rsidR="00452A85" w:rsidRPr="000E5813">
        <w:rPr>
          <w:rFonts w:ascii="Times New Roman" w:hAnsi="Times New Roman" w:cs="Times New Roman"/>
        </w:rPr>
        <w:t>, we eliminate offerings: (i) identified as unit offerings, (ii) not inv</w:t>
      </w:r>
      <w:r w:rsidR="00452A85" w:rsidRPr="00B935AF">
        <w:rPr>
          <w:rFonts w:ascii="Times New Roman" w:hAnsi="Times New Roman" w:cs="Times New Roman"/>
        </w:rPr>
        <w:t xml:space="preserve">olving common stock, (iii) of very small issues with offer sizes below US $5 million dollars in order to eliminate penny stocks from our sample </w:t>
      </w:r>
      <w:r w:rsidR="00452A85" w:rsidRPr="007A5E01">
        <w:rPr>
          <w:rFonts w:ascii="Times New Roman" w:hAnsi="Times New Roman" w:cs="Times New Roman"/>
        </w:rPr>
        <w:t xml:space="preserve">(Bradley, Cooney, Dolvin &amp; Jordan, 2005), and (v) for which SDC did not provide the information required for our </w:t>
      </w:r>
      <w:r w:rsidR="00D07B8F" w:rsidRPr="00400D06">
        <w:rPr>
          <w:rFonts w:ascii="Times New Roman" w:hAnsi="Times New Roman" w:cs="Times New Roman"/>
        </w:rPr>
        <w:t>criteria</w:t>
      </w:r>
      <w:r w:rsidR="00452A85" w:rsidRPr="00400D06">
        <w:rPr>
          <w:rFonts w:ascii="Times New Roman" w:hAnsi="Times New Roman" w:cs="Times New Roman"/>
        </w:rPr>
        <w:t>.</w:t>
      </w:r>
      <w:r w:rsidR="000D469A">
        <w:rPr>
          <w:rFonts w:ascii="Times New Roman" w:hAnsi="Times New Roman" w:cs="Times New Roman"/>
        </w:rPr>
        <w:t xml:space="preserve"> We derived companie</w:t>
      </w:r>
      <w:r w:rsidR="00D07B8F" w:rsidRPr="00400D06">
        <w:rPr>
          <w:rFonts w:ascii="Times New Roman" w:hAnsi="Times New Roman" w:cs="Times New Roman"/>
        </w:rPr>
        <w:t xml:space="preserve">s’ financial </w:t>
      </w:r>
      <w:r w:rsidR="00D07B8F" w:rsidRPr="00400D06">
        <w:rPr>
          <w:rFonts w:ascii="Times New Roman" w:hAnsi="Times New Roman" w:cs="Times New Roman"/>
        </w:rPr>
        <w:lastRenderedPageBreak/>
        <w:t>accounting information</w:t>
      </w:r>
      <w:r w:rsidR="00452A85" w:rsidRPr="00400D06">
        <w:rPr>
          <w:rFonts w:ascii="Times New Roman" w:hAnsi="Times New Roman" w:cs="Times New Roman"/>
        </w:rPr>
        <w:t xml:space="preserve"> from the</w:t>
      </w:r>
      <w:r w:rsidR="00E2718A" w:rsidRPr="00400D06">
        <w:rPr>
          <w:rFonts w:ascii="Times New Roman" w:hAnsi="Times New Roman" w:cs="Times New Roman"/>
        </w:rPr>
        <w:t xml:space="preserve"> COMPUSTAT database. Next, w</w:t>
      </w:r>
      <w:r w:rsidR="00452A85" w:rsidRPr="002C127D">
        <w:rPr>
          <w:rFonts w:ascii="Times New Roman" w:hAnsi="Times New Roman" w:cs="Times New Roman"/>
        </w:rPr>
        <w:t>e gather</w:t>
      </w:r>
      <w:r w:rsidR="00E2718A" w:rsidRPr="002C127D">
        <w:rPr>
          <w:rFonts w:ascii="Times New Roman" w:hAnsi="Times New Roman" w:cs="Times New Roman"/>
        </w:rPr>
        <w:t>ed</w:t>
      </w:r>
      <w:r w:rsidR="00452A85" w:rsidRPr="002C127D">
        <w:rPr>
          <w:rFonts w:ascii="Times New Roman" w:hAnsi="Times New Roman" w:cs="Times New Roman"/>
        </w:rPr>
        <w:t xml:space="preserve"> data </w:t>
      </w:r>
      <w:r w:rsidR="00E2718A" w:rsidRPr="002C127D">
        <w:rPr>
          <w:rFonts w:ascii="Times New Roman" w:hAnsi="Times New Roman" w:cs="Times New Roman"/>
        </w:rPr>
        <w:t>for</w:t>
      </w:r>
      <w:r w:rsidR="00452A85" w:rsidRPr="002C127D">
        <w:rPr>
          <w:rFonts w:ascii="Times New Roman" w:hAnsi="Times New Roman" w:cs="Times New Roman"/>
        </w:rPr>
        <w:t xml:space="preserve"> VC-backed </w:t>
      </w:r>
      <w:r w:rsidR="000D469A">
        <w:rPr>
          <w:rFonts w:ascii="Times New Roman" w:hAnsi="Times New Roman" w:cs="Times New Roman"/>
        </w:rPr>
        <w:t>companie</w:t>
      </w:r>
      <w:r w:rsidR="00E2718A" w:rsidRPr="002C127D">
        <w:rPr>
          <w:rFonts w:ascii="Times New Roman" w:hAnsi="Times New Roman" w:cs="Times New Roman"/>
        </w:rPr>
        <w:t>s</w:t>
      </w:r>
      <w:r w:rsidR="00452A85" w:rsidRPr="002C127D">
        <w:rPr>
          <w:rFonts w:ascii="Times New Roman" w:hAnsi="Times New Roman" w:cs="Times New Roman"/>
        </w:rPr>
        <w:t xml:space="preserve"> </w:t>
      </w:r>
      <w:r w:rsidR="000F7072" w:rsidRPr="002C127D">
        <w:rPr>
          <w:rFonts w:ascii="Times New Roman" w:hAnsi="Times New Roman" w:cs="Times New Roman"/>
        </w:rPr>
        <w:t>from</w:t>
      </w:r>
      <w:r w:rsidR="00452A85" w:rsidRPr="000E33A5">
        <w:rPr>
          <w:rFonts w:ascii="Times New Roman" w:hAnsi="Times New Roman" w:cs="Times New Roman"/>
        </w:rPr>
        <w:t xml:space="preserve"> the </w:t>
      </w:r>
      <w:r w:rsidR="00A03388" w:rsidRPr="000E33A5">
        <w:rPr>
          <w:rFonts w:ascii="Times New Roman" w:hAnsi="Times New Roman" w:cs="Times New Roman"/>
        </w:rPr>
        <w:t xml:space="preserve">SDC Platinum </w:t>
      </w:r>
      <w:r w:rsidR="00452A85" w:rsidRPr="00E339E4">
        <w:rPr>
          <w:rFonts w:ascii="Times New Roman" w:hAnsi="Times New Roman" w:cs="Times New Roman"/>
        </w:rPr>
        <w:t xml:space="preserve">VentureXPERT database.  We </w:t>
      </w:r>
      <w:r w:rsidR="00A03388" w:rsidRPr="00E339E4">
        <w:rPr>
          <w:rFonts w:ascii="Times New Roman" w:hAnsi="Times New Roman" w:cs="Times New Roman"/>
        </w:rPr>
        <w:t>finally</w:t>
      </w:r>
      <w:r w:rsidR="00452A85" w:rsidRPr="00E339E4">
        <w:rPr>
          <w:rFonts w:ascii="Times New Roman" w:hAnsi="Times New Roman" w:cs="Times New Roman"/>
        </w:rPr>
        <w:t xml:space="preserve"> match</w:t>
      </w:r>
      <w:r w:rsidR="000F7072" w:rsidRPr="000E5813">
        <w:rPr>
          <w:rFonts w:ascii="Times New Roman" w:hAnsi="Times New Roman" w:cs="Times New Roman"/>
        </w:rPr>
        <w:t>ed</w:t>
      </w:r>
      <w:r w:rsidR="00452A85" w:rsidRPr="000E5813">
        <w:rPr>
          <w:rFonts w:ascii="Times New Roman" w:hAnsi="Times New Roman" w:cs="Times New Roman"/>
        </w:rPr>
        <w:t xml:space="preserve"> this data with lobbying data gathered from </w:t>
      </w:r>
      <w:r w:rsidR="000F7072" w:rsidRPr="00B935AF">
        <w:rPr>
          <w:rFonts w:ascii="Times New Roman" w:hAnsi="Times New Roman" w:cs="Times New Roman"/>
        </w:rPr>
        <w:t>the Center</w:t>
      </w:r>
      <w:r w:rsidR="000F7072" w:rsidRPr="005919EC">
        <w:rPr>
          <w:rFonts w:ascii="Times New Roman" w:hAnsi="Times New Roman" w:cs="Times New Roman"/>
        </w:rPr>
        <w:t xml:space="preserve"> for Responsive Politics database (</w:t>
      </w:r>
      <w:r w:rsidR="00452A85" w:rsidRPr="005919EC">
        <w:rPr>
          <w:rFonts w:ascii="Times New Roman" w:hAnsi="Times New Roman" w:cs="Times New Roman"/>
        </w:rPr>
        <w:t>opensecrets.org</w:t>
      </w:r>
      <w:r w:rsidR="000F7072" w:rsidRPr="005919EC">
        <w:rPr>
          <w:rFonts w:ascii="Times New Roman" w:hAnsi="Times New Roman" w:cs="Times New Roman"/>
        </w:rPr>
        <w:t>)</w:t>
      </w:r>
      <w:r w:rsidR="00452A85" w:rsidRPr="00670396">
        <w:rPr>
          <w:rFonts w:ascii="Times New Roman" w:hAnsi="Times New Roman" w:cs="Times New Roman"/>
        </w:rPr>
        <w:t xml:space="preserve">. </w:t>
      </w:r>
      <w:r w:rsidR="000F7072" w:rsidRPr="00670396">
        <w:rPr>
          <w:rFonts w:ascii="Times New Roman" w:hAnsi="Times New Roman" w:cs="Times New Roman"/>
        </w:rPr>
        <w:t>In addition to colleting</w:t>
      </w:r>
      <w:r w:rsidR="00452A85" w:rsidRPr="00670396">
        <w:rPr>
          <w:rFonts w:ascii="Times New Roman" w:hAnsi="Times New Roman" w:cs="Times New Roman"/>
        </w:rPr>
        <w:t xml:space="preserve"> </w:t>
      </w:r>
      <w:r w:rsidR="000F7072" w:rsidRPr="00670396">
        <w:rPr>
          <w:rFonts w:ascii="Times New Roman" w:hAnsi="Times New Roman" w:cs="Times New Roman"/>
        </w:rPr>
        <w:t xml:space="preserve">lobbying </w:t>
      </w:r>
      <w:r w:rsidR="00452A85" w:rsidRPr="00670396">
        <w:rPr>
          <w:rFonts w:ascii="Times New Roman" w:hAnsi="Times New Roman" w:cs="Times New Roman"/>
        </w:rPr>
        <w:t xml:space="preserve">data for all available </w:t>
      </w:r>
      <w:r w:rsidR="000D469A">
        <w:rPr>
          <w:rFonts w:ascii="Times New Roman" w:hAnsi="Times New Roman" w:cs="Times New Roman"/>
        </w:rPr>
        <w:t>VC-backed companie</w:t>
      </w:r>
      <w:r w:rsidR="000F7072" w:rsidRPr="00670396">
        <w:rPr>
          <w:rFonts w:ascii="Times New Roman" w:hAnsi="Times New Roman" w:cs="Times New Roman"/>
        </w:rPr>
        <w:t>s, we randomly collected non-VC-</w:t>
      </w:r>
      <w:r w:rsidR="00452A85" w:rsidRPr="00670396">
        <w:rPr>
          <w:rFonts w:ascii="Times New Roman" w:hAnsi="Times New Roman" w:cs="Times New Roman"/>
        </w:rPr>
        <w:t xml:space="preserve">backed </w:t>
      </w:r>
      <w:r w:rsidR="000D469A">
        <w:rPr>
          <w:rFonts w:ascii="Times New Roman" w:hAnsi="Times New Roman" w:cs="Times New Roman"/>
        </w:rPr>
        <w:t>company</w:t>
      </w:r>
      <w:r w:rsidR="00452A85" w:rsidRPr="00670396">
        <w:rPr>
          <w:rFonts w:ascii="Times New Roman" w:hAnsi="Times New Roman" w:cs="Times New Roman"/>
        </w:rPr>
        <w:t xml:space="preserve"> data for </w:t>
      </w:r>
      <w:r w:rsidR="000D469A">
        <w:rPr>
          <w:rFonts w:ascii="Times New Roman" w:hAnsi="Times New Roman" w:cs="Times New Roman"/>
        </w:rPr>
        <w:t>companie</w:t>
      </w:r>
      <w:r w:rsidR="00452A85" w:rsidRPr="00670396">
        <w:rPr>
          <w:rFonts w:ascii="Times New Roman" w:hAnsi="Times New Roman" w:cs="Times New Roman"/>
        </w:rPr>
        <w:t xml:space="preserve">s </w:t>
      </w:r>
      <w:r w:rsidR="000F7072" w:rsidRPr="00670396">
        <w:rPr>
          <w:rFonts w:ascii="Times New Roman" w:hAnsi="Times New Roman" w:cs="Times New Roman"/>
        </w:rPr>
        <w:t>in similar industries to the VC-</w:t>
      </w:r>
      <w:r w:rsidR="00452A85" w:rsidRPr="00670396">
        <w:rPr>
          <w:rFonts w:ascii="Times New Roman" w:hAnsi="Times New Roman" w:cs="Times New Roman"/>
        </w:rPr>
        <w:t xml:space="preserve">backed </w:t>
      </w:r>
      <w:r w:rsidR="000D469A">
        <w:rPr>
          <w:rFonts w:ascii="Times New Roman" w:hAnsi="Times New Roman" w:cs="Times New Roman"/>
        </w:rPr>
        <w:t>counterpart</w:t>
      </w:r>
      <w:r w:rsidR="000F7072" w:rsidRPr="00670396">
        <w:rPr>
          <w:rFonts w:ascii="Times New Roman" w:hAnsi="Times New Roman" w:cs="Times New Roman"/>
        </w:rPr>
        <w:t>s</w:t>
      </w:r>
      <w:r w:rsidR="00452A85" w:rsidRPr="00670396">
        <w:rPr>
          <w:rFonts w:ascii="Times New Roman" w:hAnsi="Times New Roman" w:cs="Times New Roman"/>
        </w:rPr>
        <w:t xml:space="preserve"> to create a control sample. </w:t>
      </w:r>
      <w:r w:rsidR="006727E1" w:rsidRPr="00670396">
        <w:rPr>
          <w:rFonts w:ascii="Times New Roman" w:hAnsi="Times New Roman" w:cs="Times New Roman"/>
        </w:rPr>
        <w:t xml:space="preserve">Our final sample size </w:t>
      </w:r>
      <w:r w:rsidR="00A03388" w:rsidRPr="00670396">
        <w:rPr>
          <w:rFonts w:ascii="Times New Roman" w:hAnsi="Times New Roman" w:cs="Times New Roman"/>
        </w:rPr>
        <w:t xml:space="preserve">has </w:t>
      </w:r>
      <w:r w:rsidR="00452A85" w:rsidRPr="00670396">
        <w:rPr>
          <w:rFonts w:ascii="Times New Roman" w:hAnsi="Times New Roman" w:cs="Times New Roman"/>
        </w:rPr>
        <w:t>110 firms</w:t>
      </w:r>
      <w:r w:rsidR="000D469A">
        <w:rPr>
          <w:rFonts w:ascii="Times New Roman" w:hAnsi="Times New Roman" w:cs="Times New Roman"/>
        </w:rPr>
        <w:t xml:space="preserve"> and 668 company</w:t>
      </w:r>
      <w:r w:rsidR="00FD1274" w:rsidRPr="00670396">
        <w:rPr>
          <w:rFonts w:ascii="Times New Roman" w:hAnsi="Times New Roman" w:cs="Times New Roman"/>
        </w:rPr>
        <w:t>-year observations</w:t>
      </w:r>
      <w:r w:rsidR="00452A85" w:rsidRPr="00670396">
        <w:rPr>
          <w:rFonts w:ascii="Times New Roman" w:hAnsi="Times New Roman" w:cs="Times New Roman"/>
        </w:rPr>
        <w:t xml:space="preserve">. </w:t>
      </w:r>
    </w:p>
    <w:p w14:paraId="14E3E955" w14:textId="77777777" w:rsidR="00452A85" w:rsidRPr="007A5E01" w:rsidRDefault="00452A85" w:rsidP="004E7B01">
      <w:pPr>
        <w:spacing w:line="480" w:lineRule="auto"/>
        <w:rPr>
          <w:rFonts w:ascii="Times New Roman" w:hAnsi="Times New Roman" w:cs="Times New Roman"/>
          <w:b/>
        </w:rPr>
      </w:pPr>
    </w:p>
    <w:p w14:paraId="7DCEC72F" w14:textId="51DE1D28" w:rsidR="00452A85" w:rsidRPr="007A5E01" w:rsidRDefault="0047476C" w:rsidP="004E7B01">
      <w:pPr>
        <w:spacing w:line="480" w:lineRule="auto"/>
        <w:rPr>
          <w:rFonts w:ascii="Times New Roman" w:hAnsi="Times New Roman" w:cs="Times New Roman"/>
          <w:b/>
        </w:rPr>
      </w:pPr>
      <w:r w:rsidRPr="007A5E01">
        <w:rPr>
          <w:rFonts w:ascii="Times New Roman" w:hAnsi="Times New Roman" w:cs="Times New Roman"/>
          <w:b/>
        </w:rPr>
        <w:t>Measurement</w:t>
      </w:r>
    </w:p>
    <w:p w14:paraId="561E5823" w14:textId="511170F4" w:rsidR="00602BC1" w:rsidRPr="007A5E01" w:rsidRDefault="00861576" w:rsidP="004E7B01">
      <w:pPr>
        <w:spacing w:line="480" w:lineRule="auto"/>
        <w:rPr>
          <w:rFonts w:ascii="Times New Roman" w:hAnsi="Times New Roman" w:cs="Times New Roman"/>
        </w:rPr>
      </w:pPr>
      <w:r w:rsidRPr="007A5E01">
        <w:rPr>
          <w:rFonts w:ascii="Times New Roman" w:hAnsi="Times New Roman" w:cs="Times New Roman"/>
          <w:b/>
        </w:rPr>
        <w:t xml:space="preserve">Dependent variable: </w:t>
      </w:r>
      <w:r w:rsidR="00602BC1" w:rsidRPr="007A5E01">
        <w:rPr>
          <w:rFonts w:ascii="Times New Roman" w:hAnsi="Times New Roman" w:cs="Times New Roman"/>
        </w:rPr>
        <w:t>We used</w:t>
      </w:r>
      <w:r w:rsidR="00602BC1" w:rsidRPr="007A5E01">
        <w:rPr>
          <w:rFonts w:ascii="Times New Roman" w:hAnsi="Times New Roman" w:cs="Times New Roman"/>
          <w:b/>
        </w:rPr>
        <w:t xml:space="preserve"> </w:t>
      </w:r>
      <w:r w:rsidR="00602BC1" w:rsidRPr="007A5E01">
        <w:rPr>
          <w:rFonts w:ascii="Times New Roman" w:hAnsi="Times New Roman" w:cs="Times New Roman"/>
        </w:rPr>
        <w:t>l</w:t>
      </w:r>
      <w:r w:rsidRPr="007A5E01">
        <w:rPr>
          <w:rFonts w:ascii="Times New Roman" w:hAnsi="Times New Roman" w:cs="Times New Roman"/>
        </w:rPr>
        <w:t>obbying</w:t>
      </w:r>
      <w:r w:rsidR="00BC749F" w:rsidRPr="007A5E01">
        <w:rPr>
          <w:rFonts w:ascii="Times New Roman" w:hAnsi="Times New Roman" w:cs="Times New Roman"/>
        </w:rPr>
        <w:t xml:space="preserve"> expenditures</w:t>
      </w:r>
      <w:r w:rsidR="00602BC1" w:rsidRPr="007A5E01">
        <w:rPr>
          <w:rFonts w:ascii="Times New Roman" w:hAnsi="Times New Roman" w:cs="Times New Roman"/>
        </w:rPr>
        <w:t xml:space="preserve"> as our dependent variable. </w:t>
      </w:r>
      <w:r w:rsidR="004F18F4" w:rsidRPr="007A5E01">
        <w:rPr>
          <w:rFonts w:ascii="Times New Roman" w:hAnsi="Times New Roman" w:cs="Times New Roman"/>
        </w:rPr>
        <w:t>The Lobbying Disc</w:t>
      </w:r>
      <w:r w:rsidR="000D469A">
        <w:rPr>
          <w:rFonts w:ascii="Times New Roman" w:hAnsi="Times New Roman" w:cs="Times New Roman"/>
        </w:rPr>
        <w:t>losure Act of 1995 requires companie</w:t>
      </w:r>
      <w:r w:rsidR="004F18F4" w:rsidRPr="007A5E01">
        <w:rPr>
          <w:rFonts w:ascii="Times New Roman" w:hAnsi="Times New Roman" w:cs="Times New Roman"/>
        </w:rPr>
        <w:t>s to disclose their lobbying activities and the Center for R</w:t>
      </w:r>
      <w:r w:rsidR="000D469A">
        <w:rPr>
          <w:rFonts w:ascii="Times New Roman" w:hAnsi="Times New Roman" w:cs="Times New Roman"/>
        </w:rPr>
        <w:t>esponsive Politics provides companie</w:t>
      </w:r>
      <w:r w:rsidR="004F18F4" w:rsidRPr="007A5E01">
        <w:rPr>
          <w:rFonts w:ascii="Times New Roman" w:hAnsi="Times New Roman" w:cs="Times New Roman"/>
        </w:rPr>
        <w:t xml:space="preserve">s’ annual lobbying activity. </w:t>
      </w:r>
      <w:r w:rsidR="00E151B9" w:rsidRPr="007A5E01">
        <w:rPr>
          <w:rFonts w:ascii="Times New Roman" w:hAnsi="Times New Roman" w:cs="Times New Roman"/>
        </w:rPr>
        <w:t xml:space="preserve">The dependent variable </w:t>
      </w:r>
      <w:r w:rsidR="000D469A">
        <w:rPr>
          <w:rFonts w:ascii="Times New Roman" w:hAnsi="Times New Roman" w:cs="Times New Roman"/>
        </w:rPr>
        <w:t>is measured as a company</w:t>
      </w:r>
      <w:r w:rsidR="00602BC1" w:rsidRPr="007A5E01">
        <w:rPr>
          <w:rFonts w:ascii="Times New Roman" w:hAnsi="Times New Roman" w:cs="Times New Roman"/>
        </w:rPr>
        <w:t xml:space="preserve">’s lobbying expenditures in a year. </w:t>
      </w:r>
    </w:p>
    <w:p w14:paraId="2D88C5A8" w14:textId="56DEB1EE" w:rsidR="00BC749F" w:rsidRPr="007A5E01" w:rsidRDefault="00861576" w:rsidP="004E7B01">
      <w:pPr>
        <w:spacing w:line="480" w:lineRule="auto"/>
        <w:rPr>
          <w:rFonts w:ascii="Times New Roman" w:hAnsi="Times New Roman" w:cs="Times New Roman"/>
        </w:rPr>
      </w:pPr>
      <w:r w:rsidRPr="007A5E01">
        <w:rPr>
          <w:rFonts w:ascii="Times New Roman" w:hAnsi="Times New Roman" w:cs="Times New Roman"/>
          <w:b/>
        </w:rPr>
        <w:t xml:space="preserve">Independent variable: </w:t>
      </w:r>
      <w:r w:rsidR="00001E99" w:rsidRPr="007A5E01">
        <w:rPr>
          <w:rFonts w:ascii="Times New Roman" w:hAnsi="Times New Roman" w:cs="Times New Roman"/>
        </w:rPr>
        <w:t>VC-backing is a binary variable and it is equal to</w:t>
      </w:r>
      <w:r w:rsidR="00001E99" w:rsidRPr="007A5E01">
        <w:rPr>
          <w:rFonts w:ascii="Times New Roman" w:hAnsi="Times New Roman" w:cs="Times New Roman"/>
          <w:b/>
        </w:rPr>
        <w:t xml:space="preserve"> </w:t>
      </w:r>
      <w:r w:rsidRPr="007A5E01">
        <w:rPr>
          <w:rFonts w:ascii="Times New Roman" w:hAnsi="Times New Roman" w:cs="Times New Roman"/>
        </w:rPr>
        <w:t>1 if</w:t>
      </w:r>
      <w:r w:rsidR="00A333A5" w:rsidRPr="007A5E01">
        <w:rPr>
          <w:rFonts w:ascii="Times New Roman" w:hAnsi="Times New Roman" w:cs="Times New Roman"/>
        </w:rPr>
        <w:t xml:space="preserve"> </w:t>
      </w:r>
      <w:r w:rsidR="000D469A">
        <w:rPr>
          <w:rFonts w:ascii="Times New Roman" w:hAnsi="Times New Roman" w:cs="Times New Roman"/>
        </w:rPr>
        <w:t>a company</w:t>
      </w:r>
      <w:r w:rsidR="00A333A5" w:rsidRPr="007A5E01">
        <w:rPr>
          <w:rFonts w:ascii="Times New Roman" w:hAnsi="Times New Roman" w:cs="Times New Roman"/>
        </w:rPr>
        <w:t xml:space="preserve"> received</w:t>
      </w:r>
      <w:r w:rsidRPr="007A5E01">
        <w:rPr>
          <w:rFonts w:ascii="Times New Roman" w:hAnsi="Times New Roman" w:cs="Times New Roman"/>
          <w:b/>
        </w:rPr>
        <w:t xml:space="preserve"> </w:t>
      </w:r>
      <w:r w:rsidR="00A333A5" w:rsidRPr="007A5E01">
        <w:rPr>
          <w:rFonts w:ascii="Times New Roman" w:hAnsi="Times New Roman" w:cs="Times New Roman"/>
        </w:rPr>
        <w:t>VC funding</w:t>
      </w:r>
      <w:r w:rsidR="00001E99" w:rsidRPr="007A5E01">
        <w:rPr>
          <w:rFonts w:ascii="Times New Roman" w:hAnsi="Times New Roman" w:cs="Times New Roman"/>
        </w:rPr>
        <w:t xml:space="preserve"> and 0 otherwise. </w:t>
      </w:r>
      <w:r w:rsidR="00BC749F" w:rsidRPr="007A5E01">
        <w:rPr>
          <w:rFonts w:ascii="Times New Roman" w:hAnsi="Times New Roman" w:cs="Times New Roman"/>
        </w:rPr>
        <w:t>R&amp;D intensity</w:t>
      </w:r>
      <w:r w:rsidR="00001E99" w:rsidRPr="007A5E01">
        <w:rPr>
          <w:rFonts w:ascii="Times New Roman" w:hAnsi="Times New Roman" w:cs="Times New Roman"/>
        </w:rPr>
        <w:t xml:space="preserve"> is measured as a </w:t>
      </w:r>
      <w:r w:rsidR="000D469A">
        <w:rPr>
          <w:rFonts w:ascii="Times New Roman" w:hAnsi="Times New Roman" w:cs="Times New Roman"/>
        </w:rPr>
        <w:t>company</w:t>
      </w:r>
      <w:r w:rsidR="00001E99" w:rsidRPr="007A5E01">
        <w:rPr>
          <w:rFonts w:ascii="Times New Roman" w:hAnsi="Times New Roman" w:cs="Times New Roman"/>
        </w:rPr>
        <w:t xml:space="preserve">’s </w:t>
      </w:r>
      <w:r w:rsidR="00BC749F" w:rsidRPr="007A5E01">
        <w:rPr>
          <w:rFonts w:ascii="Times New Roman" w:hAnsi="Times New Roman" w:cs="Times New Roman"/>
        </w:rPr>
        <w:t xml:space="preserve">R&amp;D </w:t>
      </w:r>
      <w:r w:rsidR="00001E99" w:rsidRPr="007A5E01">
        <w:rPr>
          <w:rFonts w:ascii="Times New Roman" w:hAnsi="Times New Roman" w:cs="Times New Roman"/>
        </w:rPr>
        <w:t xml:space="preserve">expenditures divided by its </w:t>
      </w:r>
      <w:r w:rsidR="00BC749F" w:rsidRPr="007A5E01">
        <w:rPr>
          <w:rFonts w:ascii="Times New Roman" w:hAnsi="Times New Roman" w:cs="Times New Roman"/>
        </w:rPr>
        <w:t>sales</w:t>
      </w:r>
      <w:r w:rsidR="00001E99" w:rsidRPr="007A5E01">
        <w:rPr>
          <w:rFonts w:ascii="Times New Roman" w:hAnsi="Times New Roman" w:cs="Times New Roman"/>
        </w:rPr>
        <w:t xml:space="preserve">. </w:t>
      </w:r>
    </w:p>
    <w:p w14:paraId="304F0C61" w14:textId="6B742CB8" w:rsidR="00A333A5" w:rsidRPr="007A5E01" w:rsidRDefault="004E7B01" w:rsidP="004E7B01">
      <w:pPr>
        <w:spacing w:line="480" w:lineRule="auto"/>
        <w:rPr>
          <w:rFonts w:ascii="Times New Roman" w:hAnsi="Times New Roman" w:cs="Times New Roman"/>
          <w:b/>
        </w:rPr>
      </w:pPr>
      <w:r>
        <w:rPr>
          <w:rFonts w:ascii="Times New Roman" w:hAnsi="Times New Roman" w:cs="Times New Roman"/>
          <w:b/>
        </w:rPr>
        <w:t>Controls Variables</w:t>
      </w:r>
    </w:p>
    <w:p w14:paraId="2BBF0A48" w14:textId="0A800ECF" w:rsidR="00452A85" w:rsidRPr="00670396" w:rsidRDefault="0088687F" w:rsidP="004E7B01">
      <w:pPr>
        <w:spacing w:line="480" w:lineRule="auto"/>
        <w:rPr>
          <w:rFonts w:ascii="Times New Roman" w:hAnsi="Times New Roman" w:cs="Times New Roman"/>
        </w:rPr>
      </w:pPr>
      <w:r w:rsidRPr="00E339E4">
        <w:rPr>
          <w:rFonts w:ascii="Times New Roman" w:hAnsi="Times New Roman" w:cs="Times New Roman"/>
        </w:rPr>
        <w:t>We include several control variables that might affe</w:t>
      </w:r>
      <w:r w:rsidR="000D469A">
        <w:rPr>
          <w:rFonts w:ascii="Times New Roman" w:hAnsi="Times New Roman" w:cs="Times New Roman"/>
        </w:rPr>
        <w:t>ct VC-backing and lobbying. Company</w:t>
      </w:r>
      <w:r w:rsidRPr="00E339E4">
        <w:rPr>
          <w:rFonts w:ascii="Times New Roman" w:hAnsi="Times New Roman" w:cs="Times New Roman"/>
        </w:rPr>
        <w:t xml:space="preserve"> size is measured as </w:t>
      </w:r>
      <w:r w:rsidR="00452A85" w:rsidRPr="000E5813">
        <w:rPr>
          <w:rFonts w:ascii="Times New Roman" w:hAnsi="Times New Roman" w:cs="Times New Roman"/>
        </w:rPr>
        <w:t>the log of total asset</w:t>
      </w:r>
      <w:r w:rsidR="00FD1274" w:rsidRPr="000E5813">
        <w:rPr>
          <w:rFonts w:ascii="Times New Roman" w:hAnsi="Times New Roman" w:cs="Times New Roman"/>
        </w:rPr>
        <w:t>s</w:t>
      </w:r>
      <w:r w:rsidR="00452A85" w:rsidRPr="000E5813">
        <w:rPr>
          <w:rFonts w:ascii="Times New Roman" w:hAnsi="Times New Roman" w:cs="Times New Roman"/>
        </w:rPr>
        <w:t xml:space="preserve">. </w:t>
      </w:r>
      <w:r w:rsidR="000D469A">
        <w:rPr>
          <w:rFonts w:ascii="Times New Roman" w:hAnsi="Times New Roman" w:cs="Times New Roman"/>
        </w:rPr>
        <w:t>Company</w:t>
      </w:r>
      <w:r w:rsidRPr="000E5813">
        <w:rPr>
          <w:rFonts w:ascii="Times New Roman" w:hAnsi="Times New Roman" w:cs="Times New Roman"/>
        </w:rPr>
        <w:t xml:space="preserve"> performance is measured as return on equity defined as income before extraordinary items (adjusted for common stock equivalents) divided by total common equity.</w:t>
      </w:r>
      <w:r w:rsidR="00086632" w:rsidRPr="000E5813">
        <w:rPr>
          <w:rFonts w:ascii="Times New Roman" w:hAnsi="Times New Roman" w:cs="Times New Roman"/>
        </w:rPr>
        <w:t xml:space="preserve"> Debt is measured as total long-term debt divided by total assets.  </w:t>
      </w:r>
      <w:r w:rsidR="00E771A5" w:rsidRPr="00B935AF">
        <w:rPr>
          <w:rFonts w:ascii="Times New Roman" w:hAnsi="Times New Roman" w:cs="Times New Roman"/>
        </w:rPr>
        <w:t>We calculate inventory turnover as t</w:t>
      </w:r>
      <w:r w:rsidR="00E771A5" w:rsidRPr="005919EC">
        <w:rPr>
          <w:rFonts w:ascii="Times New Roman" w:hAnsi="Times New Roman" w:cs="Times New Roman"/>
        </w:rPr>
        <w:t xml:space="preserve">he total inventory over net sales. We also include </w:t>
      </w:r>
      <w:r w:rsidR="00452A85" w:rsidRPr="00670396">
        <w:rPr>
          <w:rFonts w:ascii="Times New Roman" w:hAnsi="Times New Roman" w:cs="Times New Roman"/>
        </w:rPr>
        <w:t xml:space="preserve">asset tangibility </w:t>
      </w:r>
      <w:r w:rsidR="00D83F7F">
        <w:rPr>
          <w:rFonts w:ascii="Times New Roman" w:hAnsi="Times New Roman" w:cs="Times New Roman"/>
        </w:rPr>
        <w:t xml:space="preserve">(fixed asset intensity) </w:t>
      </w:r>
      <w:r w:rsidR="00E771A5" w:rsidRPr="00670396">
        <w:rPr>
          <w:rFonts w:ascii="Times New Roman" w:hAnsi="Times New Roman" w:cs="Times New Roman"/>
        </w:rPr>
        <w:t xml:space="preserve">measured </w:t>
      </w:r>
      <w:r w:rsidR="00452A85" w:rsidRPr="00670396">
        <w:rPr>
          <w:rFonts w:ascii="Times New Roman" w:hAnsi="Times New Roman" w:cs="Times New Roman"/>
        </w:rPr>
        <w:t xml:space="preserve">as the net </w:t>
      </w:r>
      <w:r w:rsidR="00452A85" w:rsidRPr="00670396">
        <w:rPr>
          <w:rFonts w:ascii="Times New Roman" w:hAnsi="Times New Roman" w:cs="Times New Roman"/>
        </w:rPr>
        <w:lastRenderedPageBreak/>
        <w:t>plant, property, and equi</w:t>
      </w:r>
      <w:r w:rsidR="00E771A5" w:rsidRPr="00670396">
        <w:rPr>
          <w:rFonts w:ascii="Times New Roman" w:hAnsi="Times New Roman" w:cs="Times New Roman"/>
        </w:rPr>
        <w:t xml:space="preserve">pment </w:t>
      </w:r>
      <w:r w:rsidR="00D83F7F">
        <w:rPr>
          <w:rFonts w:ascii="Times New Roman" w:hAnsi="Times New Roman" w:cs="Times New Roman"/>
        </w:rPr>
        <w:t xml:space="preserve">(PPE) </w:t>
      </w:r>
      <w:r w:rsidR="0020106B" w:rsidRPr="00670396">
        <w:rPr>
          <w:rFonts w:ascii="Times New Roman" w:hAnsi="Times New Roman" w:cs="Times New Roman"/>
        </w:rPr>
        <w:t xml:space="preserve">divided by total assets and </w:t>
      </w:r>
      <w:r w:rsidR="00452A85" w:rsidRPr="00670396">
        <w:rPr>
          <w:rFonts w:ascii="Times New Roman" w:hAnsi="Times New Roman" w:cs="Times New Roman"/>
        </w:rPr>
        <w:t xml:space="preserve">asset intangibility </w:t>
      </w:r>
      <w:r w:rsidR="0020106B" w:rsidRPr="00670396">
        <w:rPr>
          <w:rFonts w:ascii="Times New Roman" w:hAnsi="Times New Roman" w:cs="Times New Roman"/>
        </w:rPr>
        <w:t xml:space="preserve">measured </w:t>
      </w:r>
      <w:r w:rsidR="00452A85" w:rsidRPr="00670396">
        <w:rPr>
          <w:rFonts w:ascii="Times New Roman" w:hAnsi="Times New Roman" w:cs="Times New Roman"/>
        </w:rPr>
        <w:t xml:space="preserve">as the </w:t>
      </w:r>
      <w:r w:rsidR="0020106B" w:rsidRPr="00670396">
        <w:rPr>
          <w:rFonts w:ascii="Times New Roman" w:hAnsi="Times New Roman" w:cs="Times New Roman"/>
        </w:rPr>
        <w:t xml:space="preserve">intangible assets divided by total assets. Lastly, we include industry and year dummy variables. </w:t>
      </w:r>
    </w:p>
    <w:p w14:paraId="06D23B0A" w14:textId="77777777" w:rsidR="00486B06" w:rsidRPr="007A5E01" w:rsidRDefault="00486B06" w:rsidP="004E7B01">
      <w:pPr>
        <w:spacing w:line="480" w:lineRule="auto"/>
        <w:rPr>
          <w:rFonts w:ascii="Times New Roman" w:hAnsi="Times New Roman" w:cs="Times New Roman"/>
          <w:b/>
        </w:rPr>
      </w:pPr>
    </w:p>
    <w:p w14:paraId="7E2D5BA5" w14:textId="77777777" w:rsidR="0047476C" w:rsidRPr="007A5E01" w:rsidRDefault="0047476C" w:rsidP="004E7B01">
      <w:pPr>
        <w:spacing w:line="480" w:lineRule="auto"/>
        <w:rPr>
          <w:rFonts w:ascii="Times New Roman" w:hAnsi="Times New Roman" w:cs="Times New Roman"/>
          <w:b/>
        </w:rPr>
      </w:pPr>
      <w:r w:rsidRPr="007A5E01">
        <w:rPr>
          <w:rFonts w:ascii="Times New Roman" w:hAnsi="Times New Roman" w:cs="Times New Roman"/>
          <w:b/>
        </w:rPr>
        <w:t>Results</w:t>
      </w:r>
    </w:p>
    <w:p w14:paraId="0CD09E6F" w14:textId="77777777" w:rsidR="00B07602" w:rsidRDefault="007962FD" w:rsidP="00081961">
      <w:pPr>
        <w:spacing w:line="480" w:lineRule="auto"/>
        <w:rPr>
          <w:rFonts w:ascii="Times New Roman" w:hAnsi="Times New Roman" w:cs="Times New Roman"/>
        </w:rPr>
      </w:pPr>
      <w:r w:rsidRPr="007A5E01">
        <w:rPr>
          <w:rFonts w:ascii="Times New Roman" w:hAnsi="Times New Roman" w:cs="Times New Roman"/>
        </w:rPr>
        <w:t xml:space="preserve">Table 1 shows descriptive statistics. </w:t>
      </w:r>
      <w:r w:rsidR="009C4C73" w:rsidRPr="007A5E01">
        <w:rPr>
          <w:rFonts w:ascii="Times New Roman" w:hAnsi="Times New Roman" w:cs="Times New Roman"/>
        </w:rPr>
        <w:t>According to the descriptive statistics of our control variables, VC backed companies in our sample have significantly less assets, inventory turnover, total debt, intangible and fixed assets.  These results are mostly consistent with what we would expect from VC backed companies. As we turn to the two independent variables of interest in our paper, we see tha</w:t>
      </w:r>
      <w:r w:rsidR="00CB510C">
        <w:rPr>
          <w:rFonts w:ascii="Times New Roman" w:hAnsi="Times New Roman" w:cs="Times New Roman"/>
        </w:rPr>
        <w:t>t VC backed companies have spent</w:t>
      </w:r>
      <w:r w:rsidR="009C4C73" w:rsidRPr="007A5E01">
        <w:rPr>
          <w:rFonts w:ascii="Times New Roman" w:hAnsi="Times New Roman" w:cs="Times New Roman"/>
        </w:rPr>
        <w:t xml:space="preserve"> less on lobbying and more on R&amp;D in general.  The result on R&amp;D is expected since VC backed companies tend to be high growth companies that are more innovative and the lobbying expenditures result is consistent with our Hypotheses 1.  This result suggests that on average, VC backed companies are less </w:t>
      </w:r>
      <w:r w:rsidR="005F3FEA" w:rsidRPr="007A5E01">
        <w:rPr>
          <w:rFonts w:ascii="Times New Roman" w:hAnsi="Times New Roman" w:cs="Times New Roman"/>
        </w:rPr>
        <w:t xml:space="preserve">likely to invest in lobbying activities, likely due to the myopic nature of the investment horizon.  </w:t>
      </w:r>
    </w:p>
    <w:p w14:paraId="516862FE" w14:textId="77777777" w:rsidR="00081961" w:rsidRDefault="00081961" w:rsidP="00081961">
      <w:pPr>
        <w:spacing w:line="480" w:lineRule="auto"/>
        <w:rPr>
          <w:rFonts w:ascii="Times New Roman" w:hAnsi="Times New Roman" w:cs="Times New Roman"/>
        </w:rPr>
      </w:pPr>
    </w:p>
    <w:p w14:paraId="44680A37" w14:textId="665CC043" w:rsidR="00B07602" w:rsidRDefault="00B07602" w:rsidP="004E7B01">
      <w:pPr>
        <w:spacing w:line="480" w:lineRule="auto"/>
        <w:jc w:val="center"/>
        <w:rPr>
          <w:rFonts w:ascii="Times New Roman" w:hAnsi="Times New Roman" w:cs="Times New Roman"/>
        </w:rPr>
      </w:pPr>
      <w:r>
        <w:rPr>
          <w:rFonts w:ascii="Times New Roman" w:hAnsi="Times New Roman" w:cs="Times New Roman"/>
        </w:rPr>
        <w:t>[INSERT TABLE 1 HERE]</w:t>
      </w:r>
    </w:p>
    <w:p w14:paraId="2CAA8683" w14:textId="77777777" w:rsidR="00081961" w:rsidRDefault="00081961" w:rsidP="004E7B01">
      <w:pPr>
        <w:spacing w:line="480" w:lineRule="auto"/>
        <w:jc w:val="center"/>
        <w:rPr>
          <w:rFonts w:ascii="Times New Roman" w:hAnsi="Times New Roman" w:cs="Times New Roman"/>
        </w:rPr>
      </w:pPr>
    </w:p>
    <w:p w14:paraId="0F48B3D8" w14:textId="77777777" w:rsidR="00B07602" w:rsidRDefault="005F3FEA" w:rsidP="004E7B01">
      <w:pPr>
        <w:spacing w:line="480" w:lineRule="auto"/>
        <w:ind w:firstLine="720"/>
        <w:rPr>
          <w:rFonts w:ascii="Times New Roman" w:hAnsi="Times New Roman" w:cs="Times New Roman"/>
        </w:rPr>
      </w:pPr>
      <w:r w:rsidRPr="007A5E01">
        <w:rPr>
          <w:rFonts w:ascii="Times New Roman" w:hAnsi="Times New Roman" w:cs="Times New Roman"/>
        </w:rPr>
        <w:t xml:space="preserve">However, this result might need further analysis, especially when we look at the industry breakdown of these two variables in Table 2.  </w:t>
      </w:r>
      <w:r w:rsidR="00F36A78" w:rsidRPr="007A5E01">
        <w:rPr>
          <w:rFonts w:ascii="Times New Roman" w:hAnsi="Times New Roman" w:cs="Times New Roman"/>
        </w:rPr>
        <w:t xml:space="preserve">If we look at the distribution of lobbying expenditures across the different industries in our sample, we can get a sense of the fact that the expenditures tend to be higher in industries that are more invested in R&amp;D expenditures.  </w:t>
      </w:r>
      <w:r w:rsidR="00566F1A" w:rsidRPr="007A5E01">
        <w:rPr>
          <w:rFonts w:ascii="Times New Roman" w:hAnsi="Times New Roman" w:cs="Times New Roman"/>
        </w:rPr>
        <w:t xml:space="preserve">Industries such as </w:t>
      </w:r>
      <w:r w:rsidR="00F36A78" w:rsidRPr="007A5E01">
        <w:rPr>
          <w:rFonts w:ascii="Times New Roman" w:hAnsi="Times New Roman" w:cs="Times New Roman"/>
        </w:rPr>
        <w:t xml:space="preserve">Chemicals and Allied Products, </w:t>
      </w:r>
      <w:r w:rsidR="00566F1A" w:rsidRPr="007A5E01">
        <w:rPr>
          <w:rFonts w:ascii="Times New Roman" w:hAnsi="Times New Roman" w:cs="Times New Roman"/>
        </w:rPr>
        <w:t xml:space="preserve">Engineering and </w:t>
      </w:r>
      <w:r w:rsidR="00566F1A" w:rsidRPr="007A5E01">
        <w:rPr>
          <w:rFonts w:ascii="Times New Roman" w:hAnsi="Times New Roman" w:cs="Times New Roman"/>
        </w:rPr>
        <w:lastRenderedPageBreak/>
        <w:t>Management Services, Transportation Equipment and Instruments and related products seems to have high lobbying and R&amp;D expenditures.  These are also industries where VC investments are heavily invested.  This suggests that the relationship between</w:t>
      </w:r>
      <w:r w:rsidR="007A5E01" w:rsidRPr="007A5E01">
        <w:rPr>
          <w:rFonts w:ascii="Times New Roman" w:hAnsi="Times New Roman" w:cs="Times New Roman"/>
        </w:rPr>
        <w:t xml:space="preserve"> </w:t>
      </w:r>
      <w:r w:rsidR="00566F1A" w:rsidRPr="007A5E01">
        <w:rPr>
          <w:rFonts w:ascii="Times New Roman" w:hAnsi="Times New Roman" w:cs="Times New Roman"/>
        </w:rPr>
        <w:t>VC backing and lobbying efforts may not be a line</w:t>
      </w:r>
      <w:r w:rsidR="00062EAD">
        <w:rPr>
          <w:rFonts w:ascii="Times New Roman" w:hAnsi="Times New Roman" w:cs="Times New Roman"/>
        </w:rPr>
        <w:t>a</w:t>
      </w:r>
      <w:r w:rsidR="00566F1A" w:rsidRPr="007A5E01">
        <w:rPr>
          <w:rFonts w:ascii="Times New Roman" w:hAnsi="Times New Roman" w:cs="Times New Roman"/>
        </w:rPr>
        <w:t xml:space="preserve">r relationship.  </w:t>
      </w:r>
    </w:p>
    <w:p w14:paraId="24F71A12" w14:textId="77777777" w:rsidR="00081961" w:rsidRDefault="00081961" w:rsidP="004E7B01">
      <w:pPr>
        <w:spacing w:line="480" w:lineRule="auto"/>
        <w:ind w:firstLine="720"/>
        <w:rPr>
          <w:rFonts w:ascii="Times New Roman" w:hAnsi="Times New Roman" w:cs="Times New Roman"/>
        </w:rPr>
      </w:pPr>
    </w:p>
    <w:p w14:paraId="62E1DE23" w14:textId="0E13DB08" w:rsidR="00B07602" w:rsidRDefault="00B07602" w:rsidP="004E7B01">
      <w:pPr>
        <w:spacing w:line="480" w:lineRule="auto"/>
        <w:jc w:val="center"/>
        <w:rPr>
          <w:rFonts w:ascii="Times New Roman" w:hAnsi="Times New Roman" w:cs="Times New Roman"/>
        </w:rPr>
      </w:pPr>
      <w:r>
        <w:rPr>
          <w:rFonts w:ascii="Times New Roman" w:hAnsi="Times New Roman" w:cs="Times New Roman"/>
        </w:rPr>
        <w:t>[INSERT TABLE 2 HERE]</w:t>
      </w:r>
    </w:p>
    <w:p w14:paraId="36AFED25" w14:textId="77777777" w:rsidR="00081961" w:rsidRDefault="00081961" w:rsidP="004E7B01">
      <w:pPr>
        <w:spacing w:line="480" w:lineRule="auto"/>
        <w:jc w:val="center"/>
        <w:rPr>
          <w:rFonts w:ascii="Times New Roman" w:hAnsi="Times New Roman" w:cs="Times New Roman"/>
        </w:rPr>
      </w:pPr>
    </w:p>
    <w:p w14:paraId="7A5D9E34" w14:textId="650FDF85" w:rsidR="00492D75" w:rsidRDefault="00062EAD" w:rsidP="004E7B01">
      <w:pPr>
        <w:spacing w:line="480" w:lineRule="auto"/>
        <w:ind w:firstLine="720"/>
        <w:rPr>
          <w:rFonts w:ascii="Times New Roman" w:hAnsi="Times New Roman" w:cs="Times New Roman"/>
        </w:rPr>
      </w:pPr>
      <w:r>
        <w:rPr>
          <w:rFonts w:ascii="Times New Roman" w:hAnsi="Times New Roman" w:cs="Times New Roman"/>
        </w:rPr>
        <w:t>Table 3 shows the correlation matrix</w:t>
      </w:r>
      <w:r w:rsidR="00D83F7F">
        <w:rPr>
          <w:rFonts w:ascii="Times New Roman" w:hAnsi="Times New Roman" w:cs="Times New Roman"/>
        </w:rPr>
        <w:t xml:space="preserve"> and includes only significant coefficients</w:t>
      </w:r>
      <w:r>
        <w:rPr>
          <w:rFonts w:ascii="Times New Roman" w:hAnsi="Times New Roman" w:cs="Times New Roman"/>
        </w:rPr>
        <w:t>. There are strong correlations between some variables. For example, the amount of lobbying expenditures and VC backing is negatively correlated</w:t>
      </w:r>
      <w:r w:rsidR="00D83F7F">
        <w:rPr>
          <w:rFonts w:ascii="Times New Roman" w:hAnsi="Times New Roman" w:cs="Times New Roman"/>
        </w:rPr>
        <w:t xml:space="preserve">. Lobbying is </w:t>
      </w:r>
      <w:r w:rsidR="000D469A">
        <w:rPr>
          <w:rFonts w:ascii="Times New Roman" w:hAnsi="Times New Roman" w:cs="Times New Roman"/>
        </w:rPr>
        <w:t>also highly correlated with company</w:t>
      </w:r>
      <w:r w:rsidR="00D83F7F">
        <w:rPr>
          <w:rFonts w:ascii="Times New Roman" w:hAnsi="Times New Roman" w:cs="Times New Roman"/>
        </w:rPr>
        <w:t xml:space="preserve"> size and tangible asset intensity.</w:t>
      </w:r>
      <w:r>
        <w:rPr>
          <w:rFonts w:ascii="Times New Roman" w:hAnsi="Times New Roman" w:cs="Times New Roman"/>
        </w:rPr>
        <w:t xml:space="preserve"> </w:t>
      </w:r>
      <w:r w:rsidR="00566F1A" w:rsidRPr="007A5E01">
        <w:rPr>
          <w:rFonts w:ascii="Times New Roman" w:hAnsi="Times New Roman" w:cs="Times New Roman"/>
        </w:rPr>
        <w:t xml:space="preserve">In order to test </w:t>
      </w:r>
      <w:r w:rsidR="007A5E01" w:rsidRPr="007A5E01">
        <w:rPr>
          <w:rFonts w:ascii="Times New Roman" w:hAnsi="Times New Roman" w:cs="Times New Roman"/>
        </w:rPr>
        <w:t>Hypot</w:t>
      </w:r>
      <w:r w:rsidR="000D469A">
        <w:rPr>
          <w:rFonts w:ascii="Times New Roman" w:hAnsi="Times New Roman" w:cs="Times New Roman"/>
        </w:rPr>
        <w:t>hesis 1 in a multivariate settin</w:t>
      </w:r>
      <w:r w:rsidR="007A5E01" w:rsidRPr="007A5E01">
        <w:rPr>
          <w:rFonts w:ascii="Times New Roman" w:hAnsi="Times New Roman" w:cs="Times New Roman"/>
        </w:rPr>
        <w:t>g and address the possible interaction of VC backing and R&amp;D expenditures,</w:t>
      </w:r>
      <w:r w:rsidR="00566F1A" w:rsidRPr="007A5E01">
        <w:rPr>
          <w:rFonts w:ascii="Times New Roman" w:hAnsi="Times New Roman" w:cs="Times New Roman"/>
        </w:rPr>
        <w:t xml:space="preserve"> (Hypothesis 2) we </w:t>
      </w:r>
      <w:r>
        <w:rPr>
          <w:rFonts w:ascii="Times New Roman" w:hAnsi="Times New Roman" w:cs="Times New Roman"/>
        </w:rPr>
        <w:t>run regression models in Table 4</w:t>
      </w:r>
      <w:r w:rsidR="00566F1A" w:rsidRPr="007A5E01">
        <w:rPr>
          <w:rFonts w:ascii="Times New Roman" w:hAnsi="Times New Roman" w:cs="Times New Roman"/>
        </w:rPr>
        <w:t xml:space="preserve">.   </w:t>
      </w:r>
      <w:r w:rsidR="009C4C73" w:rsidRPr="007A5E01">
        <w:rPr>
          <w:rFonts w:ascii="Times New Roman" w:hAnsi="Times New Roman" w:cs="Times New Roman"/>
        </w:rPr>
        <w:t xml:space="preserve"> </w:t>
      </w:r>
    </w:p>
    <w:p w14:paraId="16297EA8" w14:textId="77777777" w:rsidR="00081961" w:rsidRDefault="00081961" w:rsidP="004E7B01">
      <w:pPr>
        <w:spacing w:line="480" w:lineRule="auto"/>
        <w:ind w:firstLine="720"/>
        <w:rPr>
          <w:rFonts w:ascii="Times New Roman" w:hAnsi="Times New Roman" w:cs="Times New Roman"/>
        </w:rPr>
      </w:pPr>
    </w:p>
    <w:p w14:paraId="2AC66E1E" w14:textId="197B2ED2" w:rsidR="00B07602" w:rsidRDefault="00B07602" w:rsidP="004E7B01">
      <w:pPr>
        <w:spacing w:line="480" w:lineRule="auto"/>
        <w:jc w:val="center"/>
        <w:rPr>
          <w:rFonts w:ascii="Times New Roman" w:hAnsi="Times New Roman" w:cs="Times New Roman"/>
        </w:rPr>
      </w:pPr>
      <w:r>
        <w:rPr>
          <w:rFonts w:ascii="Times New Roman" w:hAnsi="Times New Roman" w:cs="Times New Roman"/>
        </w:rPr>
        <w:t>[INSERT TABLE 3 HERE]</w:t>
      </w:r>
    </w:p>
    <w:p w14:paraId="50ECC12E" w14:textId="77777777" w:rsidR="00081961" w:rsidRPr="007A5E01" w:rsidRDefault="00081961" w:rsidP="004E7B01">
      <w:pPr>
        <w:spacing w:line="480" w:lineRule="auto"/>
        <w:jc w:val="center"/>
        <w:rPr>
          <w:rFonts w:ascii="Times New Roman" w:hAnsi="Times New Roman" w:cs="Times New Roman"/>
        </w:rPr>
      </w:pPr>
    </w:p>
    <w:p w14:paraId="1F420B51" w14:textId="7F0B88CA" w:rsidR="007962FD" w:rsidRDefault="007962FD" w:rsidP="004E7B01">
      <w:pPr>
        <w:spacing w:line="480" w:lineRule="auto"/>
        <w:ind w:firstLine="720"/>
        <w:rPr>
          <w:rFonts w:ascii="Times New Roman" w:hAnsi="Times New Roman" w:cs="Times New Roman"/>
        </w:rPr>
      </w:pPr>
      <w:r w:rsidRPr="007A5E01">
        <w:rPr>
          <w:rFonts w:ascii="Times New Roman" w:hAnsi="Times New Roman" w:cs="Times New Roman"/>
        </w:rPr>
        <w:t xml:space="preserve">Table </w:t>
      </w:r>
      <w:r w:rsidR="00062EAD">
        <w:rPr>
          <w:rFonts w:ascii="Times New Roman" w:hAnsi="Times New Roman" w:cs="Times New Roman"/>
        </w:rPr>
        <w:t>4</w:t>
      </w:r>
      <w:r w:rsidRPr="007A5E01">
        <w:rPr>
          <w:rFonts w:ascii="Times New Roman" w:hAnsi="Times New Roman" w:cs="Times New Roman"/>
        </w:rPr>
        <w:t xml:space="preserve"> reports the results of OLS regressions. </w:t>
      </w:r>
      <w:r w:rsidR="00566F1A" w:rsidRPr="007A5E01">
        <w:rPr>
          <w:rFonts w:ascii="Times New Roman" w:hAnsi="Times New Roman" w:cs="Times New Roman"/>
        </w:rPr>
        <w:t>Model 1</w:t>
      </w:r>
      <w:r w:rsidRPr="007A5E01">
        <w:rPr>
          <w:rFonts w:ascii="Times New Roman" w:hAnsi="Times New Roman" w:cs="Times New Roman"/>
        </w:rPr>
        <w:t xml:space="preserve"> and Model </w:t>
      </w:r>
      <w:r w:rsidR="00566F1A" w:rsidRPr="007A5E01">
        <w:rPr>
          <w:rFonts w:ascii="Times New Roman" w:hAnsi="Times New Roman" w:cs="Times New Roman"/>
        </w:rPr>
        <w:t>2</w:t>
      </w:r>
      <w:r w:rsidRPr="007A5E01">
        <w:rPr>
          <w:rFonts w:ascii="Times New Roman" w:hAnsi="Times New Roman" w:cs="Times New Roman"/>
        </w:rPr>
        <w:t xml:space="preserve"> include main effects and interaction effects respectively. Hypothesis 1 predicts a negative relation</w:t>
      </w:r>
      <w:r w:rsidR="000D469A">
        <w:rPr>
          <w:rFonts w:ascii="Times New Roman" w:hAnsi="Times New Roman" w:cs="Times New Roman"/>
        </w:rPr>
        <w:t>ship between VC-backing and company</w:t>
      </w:r>
      <w:r w:rsidRPr="007A5E01">
        <w:rPr>
          <w:rFonts w:ascii="Times New Roman" w:hAnsi="Times New Roman" w:cs="Times New Roman"/>
        </w:rPr>
        <w:t>’</w:t>
      </w:r>
      <w:r w:rsidR="000D469A">
        <w:rPr>
          <w:rFonts w:ascii="Times New Roman" w:hAnsi="Times New Roman" w:cs="Times New Roman"/>
        </w:rPr>
        <w:t>s</w:t>
      </w:r>
      <w:r w:rsidRPr="007A5E01">
        <w:rPr>
          <w:rFonts w:ascii="Times New Roman" w:hAnsi="Times New Roman" w:cs="Times New Roman"/>
        </w:rPr>
        <w:t xml:space="preserve"> lobbying expenditures. </w:t>
      </w:r>
      <w:r w:rsidR="00492D75" w:rsidRPr="007A5E01">
        <w:rPr>
          <w:rFonts w:ascii="Times New Roman" w:hAnsi="Times New Roman" w:cs="Times New Roman"/>
        </w:rPr>
        <w:t>Similar to our univariate results in Table 1, o</w:t>
      </w:r>
      <w:r w:rsidRPr="007A5E01">
        <w:rPr>
          <w:rFonts w:ascii="Times New Roman" w:hAnsi="Times New Roman" w:cs="Times New Roman"/>
        </w:rPr>
        <w:t xml:space="preserve">ur </w:t>
      </w:r>
      <w:r w:rsidR="00492D75" w:rsidRPr="007A5E01">
        <w:rPr>
          <w:rFonts w:ascii="Times New Roman" w:hAnsi="Times New Roman" w:cs="Times New Roman"/>
        </w:rPr>
        <w:t xml:space="preserve">multivariate </w:t>
      </w:r>
      <w:r w:rsidRPr="007A5E01">
        <w:rPr>
          <w:rFonts w:ascii="Times New Roman" w:hAnsi="Times New Roman" w:cs="Times New Roman"/>
        </w:rPr>
        <w:t>analysis</w:t>
      </w:r>
      <w:r w:rsidR="00492D75" w:rsidRPr="007A5E01">
        <w:rPr>
          <w:rFonts w:ascii="Times New Roman" w:hAnsi="Times New Roman" w:cs="Times New Roman"/>
        </w:rPr>
        <w:t xml:space="preserve"> also</w:t>
      </w:r>
      <w:r w:rsidRPr="007A5E01">
        <w:rPr>
          <w:rFonts w:ascii="Times New Roman" w:hAnsi="Times New Roman" w:cs="Times New Roman"/>
        </w:rPr>
        <w:t xml:space="preserve"> supports a negative and significant relationsh</w:t>
      </w:r>
      <w:r w:rsidR="000D469A">
        <w:rPr>
          <w:rFonts w:ascii="Times New Roman" w:hAnsi="Times New Roman" w:cs="Times New Roman"/>
        </w:rPr>
        <w:t>ip between VC-backing and a company</w:t>
      </w:r>
      <w:r w:rsidRPr="007A5E01">
        <w:rPr>
          <w:rFonts w:ascii="Times New Roman" w:hAnsi="Times New Roman" w:cs="Times New Roman"/>
        </w:rPr>
        <w:t>’s lobbying expenditure</w:t>
      </w:r>
      <w:r w:rsidR="00886D0E" w:rsidRPr="007A5E01">
        <w:rPr>
          <w:rFonts w:ascii="Times New Roman" w:hAnsi="Times New Roman" w:cs="Times New Roman"/>
        </w:rPr>
        <w:t xml:space="preserve">s. In Model </w:t>
      </w:r>
      <w:r w:rsidR="00492D75" w:rsidRPr="007A5E01">
        <w:rPr>
          <w:rFonts w:ascii="Times New Roman" w:hAnsi="Times New Roman" w:cs="Times New Roman"/>
        </w:rPr>
        <w:t>2</w:t>
      </w:r>
      <w:r w:rsidR="00886D0E" w:rsidRPr="007A5E01">
        <w:rPr>
          <w:rFonts w:ascii="Times New Roman" w:hAnsi="Times New Roman" w:cs="Times New Roman"/>
        </w:rPr>
        <w:t xml:space="preserve">, </w:t>
      </w:r>
      <w:r w:rsidR="000D469A">
        <w:rPr>
          <w:rFonts w:ascii="Times New Roman" w:hAnsi="Times New Roman" w:cs="Times New Roman"/>
        </w:rPr>
        <w:t xml:space="preserve">we interact R&amp;D </w:t>
      </w:r>
      <w:r w:rsidR="00492D75" w:rsidRPr="007A5E01">
        <w:rPr>
          <w:rFonts w:ascii="Times New Roman" w:hAnsi="Times New Roman" w:cs="Times New Roman"/>
        </w:rPr>
        <w:t xml:space="preserve">expenditures and VC backing and analyze the effect of this interaction on lobbying expenditures.  According to our results, </w:t>
      </w:r>
      <w:r w:rsidR="00886D0E" w:rsidRPr="007A5E01">
        <w:rPr>
          <w:rFonts w:ascii="Times New Roman" w:hAnsi="Times New Roman" w:cs="Times New Roman"/>
        </w:rPr>
        <w:t xml:space="preserve">the interaction effects of R&amp;D </w:t>
      </w:r>
      <w:r w:rsidR="00886D0E" w:rsidRPr="007A5E01">
        <w:rPr>
          <w:rFonts w:ascii="Times New Roman" w:hAnsi="Times New Roman" w:cs="Times New Roman"/>
        </w:rPr>
        <w:lastRenderedPageBreak/>
        <w:t>intensity is negative and significant</w:t>
      </w:r>
      <w:r w:rsidR="000D469A">
        <w:rPr>
          <w:rFonts w:ascii="Times New Roman" w:hAnsi="Times New Roman" w:cs="Times New Roman"/>
        </w:rPr>
        <w:t>, suggesting that VC-backed companie</w:t>
      </w:r>
      <w:r w:rsidR="00886D0E" w:rsidRPr="007A5E01">
        <w:rPr>
          <w:rFonts w:ascii="Times New Roman" w:hAnsi="Times New Roman" w:cs="Times New Roman"/>
        </w:rPr>
        <w:t xml:space="preserve">s with high R&amp;D intensity invest </w:t>
      </w:r>
      <w:r w:rsidR="000D469A">
        <w:rPr>
          <w:rFonts w:ascii="Times New Roman" w:hAnsi="Times New Roman" w:cs="Times New Roman"/>
        </w:rPr>
        <w:t>more in lobbying</w:t>
      </w:r>
      <w:r w:rsidR="00886D0E" w:rsidRPr="007A5E01">
        <w:rPr>
          <w:rFonts w:ascii="Times New Roman" w:hAnsi="Times New Roman" w:cs="Times New Roman"/>
        </w:rPr>
        <w:t>. These results provide support for Hypothesis 2</w:t>
      </w:r>
      <w:r w:rsidR="007A5E01" w:rsidRPr="007A5E01">
        <w:rPr>
          <w:rFonts w:ascii="Times New Roman" w:hAnsi="Times New Roman" w:cs="Times New Roman"/>
        </w:rPr>
        <w:t>, suggesting that as companies’ long term interests are aligned with lobbying efforts, companies tend to invest more in lobbying.</w:t>
      </w:r>
    </w:p>
    <w:p w14:paraId="25BBECDC" w14:textId="77777777" w:rsidR="00081961" w:rsidRPr="00E339E4" w:rsidRDefault="00081961" w:rsidP="004E7B01">
      <w:pPr>
        <w:spacing w:line="480" w:lineRule="auto"/>
        <w:ind w:firstLine="720"/>
        <w:rPr>
          <w:rFonts w:ascii="Times New Roman" w:hAnsi="Times New Roman" w:cs="Times New Roman"/>
        </w:rPr>
      </w:pPr>
    </w:p>
    <w:p w14:paraId="1D2FAC23" w14:textId="25BFF16D" w:rsidR="00BC749F" w:rsidRDefault="00B07602" w:rsidP="004E7B01">
      <w:pPr>
        <w:spacing w:line="480" w:lineRule="auto"/>
        <w:jc w:val="center"/>
        <w:rPr>
          <w:rFonts w:ascii="Times New Roman" w:hAnsi="Times New Roman" w:cs="Times New Roman"/>
        </w:rPr>
      </w:pPr>
      <w:r>
        <w:rPr>
          <w:rFonts w:ascii="Times New Roman" w:hAnsi="Times New Roman" w:cs="Times New Roman"/>
        </w:rPr>
        <w:t>[INSERT TABLE 4 HERE]</w:t>
      </w:r>
    </w:p>
    <w:p w14:paraId="357A8405" w14:textId="77777777" w:rsidR="00081961" w:rsidRPr="007A5E01" w:rsidRDefault="00081961" w:rsidP="004E7B01">
      <w:pPr>
        <w:spacing w:line="480" w:lineRule="auto"/>
        <w:jc w:val="center"/>
        <w:rPr>
          <w:rFonts w:ascii="Times New Roman" w:hAnsi="Times New Roman" w:cs="Times New Roman"/>
        </w:rPr>
      </w:pPr>
    </w:p>
    <w:p w14:paraId="2D21BF68" w14:textId="77777777" w:rsidR="0047476C" w:rsidRDefault="0047476C" w:rsidP="004E7B01">
      <w:pPr>
        <w:spacing w:line="480" w:lineRule="auto"/>
        <w:rPr>
          <w:rFonts w:ascii="Times New Roman" w:hAnsi="Times New Roman" w:cs="Times New Roman"/>
          <w:b/>
        </w:rPr>
      </w:pPr>
      <w:r w:rsidRPr="007A5E01">
        <w:rPr>
          <w:rFonts w:ascii="Times New Roman" w:hAnsi="Times New Roman" w:cs="Times New Roman"/>
          <w:b/>
        </w:rPr>
        <w:t>Discussion</w:t>
      </w:r>
    </w:p>
    <w:p w14:paraId="423CB5CB" w14:textId="1EA36759" w:rsidR="007A5E01" w:rsidRDefault="001A162C" w:rsidP="00081961">
      <w:pPr>
        <w:spacing w:line="480" w:lineRule="auto"/>
        <w:rPr>
          <w:rFonts w:ascii="Times New Roman" w:hAnsi="Times New Roman" w:cs="Times New Roman"/>
        </w:rPr>
      </w:pPr>
      <w:r w:rsidRPr="00A13CFC">
        <w:rPr>
          <w:rFonts w:ascii="Times New Roman" w:hAnsi="Times New Roman" w:cs="Times New Roman"/>
        </w:rPr>
        <w:t xml:space="preserve">In this study, </w:t>
      </w:r>
      <w:r>
        <w:rPr>
          <w:rFonts w:ascii="Times New Roman" w:hAnsi="Times New Roman" w:cs="Times New Roman"/>
        </w:rPr>
        <w:t xml:space="preserve">we examine the relationship between </w:t>
      </w:r>
      <w:r w:rsidR="000D469A">
        <w:rPr>
          <w:rFonts w:ascii="Times New Roman" w:hAnsi="Times New Roman" w:cs="Times New Roman"/>
        </w:rPr>
        <w:t>VC-backing and companies</w:t>
      </w:r>
      <w:r>
        <w:rPr>
          <w:rFonts w:ascii="Times New Roman" w:hAnsi="Times New Roman" w:cs="Times New Roman"/>
        </w:rPr>
        <w:t xml:space="preserve">’ lobbying strategies. We </w:t>
      </w:r>
      <w:r w:rsidR="000D469A">
        <w:rPr>
          <w:rFonts w:ascii="Times New Roman" w:hAnsi="Times New Roman" w:cs="Times New Roman"/>
        </w:rPr>
        <w:t>find that VC-backed companie</w:t>
      </w:r>
      <w:r>
        <w:rPr>
          <w:rFonts w:ascii="Times New Roman" w:hAnsi="Times New Roman" w:cs="Times New Roman"/>
        </w:rPr>
        <w:t xml:space="preserve">s invest in lobbying less. Since </w:t>
      </w:r>
      <w:r w:rsidR="000D469A">
        <w:rPr>
          <w:rFonts w:ascii="Times New Roman" w:hAnsi="Times New Roman" w:cs="Times New Roman"/>
        </w:rPr>
        <w:t>VC-backed companie</w:t>
      </w:r>
      <w:r>
        <w:rPr>
          <w:rFonts w:ascii="Times New Roman" w:hAnsi="Times New Roman" w:cs="Times New Roman"/>
        </w:rPr>
        <w:t xml:space="preserve">s are more likely to invest in projects with high returns in short periods, they may not </w:t>
      </w:r>
      <w:r w:rsidR="000376BB">
        <w:rPr>
          <w:rFonts w:ascii="Times New Roman" w:hAnsi="Times New Roman" w:cs="Times New Roman"/>
        </w:rPr>
        <w:t xml:space="preserve">expect returns from lobbying which is more long-term oriented and risky and they less likely </w:t>
      </w:r>
      <w:r>
        <w:rPr>
          <w:rFonts w:ascii="Times New Roman" w:hAnsi="Times New Roman" w:cs="Times New Roman"/>
        </w:rPr>
        <w:t xml:space="preserve">invest in lobbying strategies. </w:t>
      </w:r>
      <w:r w:rsidR="00BF2D8B">
        <w:rPr>
          <w:rFonts w:ascii="Times New Roman" w:hAnsi="Times New Roman" w:cs="Times New Roman"/>
        </w:rPr>
        <w:t xml:space="preserve">However, we also find that R&amp;D intensity impacts this relationship in such a way that </w:t>
      </w:r>
      <w:r w:rsidR="000D469A">
        <w:rPr>
          <w:rFonts w:ascii="Times New Roman" w:hAnsi="Times New Roman" w:cs="Times New Roman"/>
        </w:rPr>
        <w:t>VC-backed companie</w:t>
      </w:r>
      <w:r w:rsidR="00BF2D8B">
        <w:rPr>
          <w:rFonts w:ascii="Times New Roman" w:hAnsi="Times New Roman" w:cs="Times New Roman"/>
        </w:rPr>
        <w:t xml:space="preserve">s with high R&amp;D intensity invest in lobbying strategies more. </w:t>
      </w:r>
      <w:r>
        <w:rPr>
          <w:rFonts w:ascii="Times New Roman" w:hAnsi="Times New Roman" w:cs="Times New Roman"/>
        </w:rPr>
        <w:t xml:space="preserve"> </w:t>
      </w:r>
      <w:r w:rsidR="00BF2D8B">
        <w:rPr>
          <w:rFonts w:ascii="Times New Roman" w:hAnsi="Times New Roman" w:cs="Times New Roman"/>
        </w:rPr>
        <w:t xml:space="preserve">Lobbying strategies can help these </w:t>
      </w:r>
      <w:r w:rsidR="000D469A">
        <w:rPr>
          <w:rFonts w:ascii="Times New Roman" w:hAnsi="Times New Roman" w:cs="Times New Roman"/>
        </w:rPr>
        <w:t>copmanie</w:t>
      </w:r>
      <w:r w:rsidR="00BF2D8B">
        <w:rPr>
          <w:rFonts w:ascii="Times New Roman" w:hAnsi="Times New Roman" w:cs="Times New Roman"/>
        </w:rPr>
        <w:t xml:space="preserve">s control their legal environment and </w:t>
      </w:r>
      <w:r w:rsidR="00243DCE">
        <w:rPr>
          <w:rFonts w:ascii="Times New Roman" w:hAnsi="Times New Roman" w:cs="Times New Roman"/>
        </w:rPr>
        <w:t xml:space="preserve">even </w:t>
      </w:r>
      <w:r w:rsidR="00BF2D8B">
        <w:rPr>
          <w:rFonts w:ascii="Times New Roman" w:hAnsi="Times New Roman" w:cs="Times New Roman"/>
        </w:rPr>
        <w:t>prevent laws that might prohibit them from reaping benefits from their R&amp;D investments.</w:t>
      </w:r>
      <w:r w:rsidR="00243DCE">
        <w:rPr>
          <w:rFonts w:ascii="Times New Roman" w:hAnsi="Times New Roman" w:cs="Times New Roman"/>
        </w:rPr>
        <w:t xml:space="preserve"> VC-backed </w:t>
      </w:r>
      <w:r w:rsidR="000D469A">
        <w:rPr>
          <w:rFonts w:ascii="Times New Roman" w:hAnsi="Times New Roman" w:cs="Times New Roman"/>
        </w:rPr>
        <w:t>companie</w:t>
      </w:r>
      <w:r w:rsidR="00243DCE">
        <w:rPr>
          <w:rFonts w:ascii="Times New Roman" w:hAnsi="Times New Roman" w:cs="Times New Roman"/>
        </w:rPr>
        <w:t xml:space="preserve">s with high R&amp;D investments will be more sensitive to uncertainties in their environments, therefore, they are more likely to invest in lobbying strategies with the expectation that their connections through lobbying will help them secure their environment. </w:t>
      </w:r>
    </w:p>
    <w:p w14:paraId="1F12A832" w14:textId="731259DF" w:rsidR="00D11276" w:rsidRDefault="00695058" w:rsidP="004E7B01">
      <w:pPr>
        <w:spacing w:line="480" w:lineRule="auto"/>
        <w:rPr>
          <w:rFonts w:ascii="Times New Roman" w:hAnsi="Times New Roman" w:cs="Times New Roman"/>
        </w:rPr>
      </w:pPr>
      <w:r>
        <w:rPr>
          <w:rFonts w:ascii="Times New Roman" w:hAnsi="Times New Roman" w:cs="Times New Roman"/>
        </w:rPr>
        <w:tab/>
        <w:t xml:space="preserve">This study makes several contributions to several research streams. </w:t>
      </w:r>
      <w:r w:rsidR="00D11276">
        <w:rPr>
          <w:rFonts w:ascii="Times New Roman" w:hAnsi="Times New Roman" w:cs="Times New Roman"/>
        </w:rPr>
        <w:t xml:space="preserve">First, it contributes to the literature on VC by providing insights into the outcomes of VC-backing. While market outcomes of VC-backing receive a great deal of attention </w:t>
      </w:r>
      <w:r w:rsidR="00D11276">
        <w:rPr>
          <w:rFonts w:ascii="Times New Roman" w:hAnsi="Times New Roman" w:cs="Times New Roman"/>
        </w:rPr>
        <w:lastRenderedPageBreak/>
        <w:t>(</w:t>
      </w:r>
      <w:r w:rsidR="004635D4">
        <w:rPr>
          <w:rFonts w:ascii="Times New Roman" w:hAnsi="Times New Roman" w:cs="Times New Roman"/>
        </w:rPr>
        <w:t>Alvarez-Garrido &amp; Dushnitsky, 2016; Da Rin, Hellmann, &amp; Puri, 2013; Dutta &amp; Folta, 2016</w:t>
      </w:r>
      <w:r w:rsidR="00D11276">
        <w:rPr>
          <w:rFonts w:ascii="Times New Roman" w:hAnsi="Times New Roman" w:cs="Times New Roman"/>
        </w:rPr>
        <w:t xml:space="preserve">), non-market outcomes are neglected in VC research. We suggest that </w:t>
      </w:r>
      <w:r w:rsidR="00D11276" w:rsidRPr="007A5E01">
        <w:rPr>
          <w:rFonts w:ascii="Times New Roman" w:hAnsi="Times New Roman" w:cs="Times New Roman"/>
        </w:rPr>
        <w:t xml:space="preserve">VC-backed </w:t>
      </w:r>
      <w:r w:rsidR="000D469A">
        <w:rPr>
          <w:rFonts w:ascii="Times New Roman" w:hAnsi="Times New Roman" w:cs="Times New Roman"/>
        </w:rPr>
        <w:t>companie</w:t>
      </w:r>
      <w:r w:rsidR="00D11276">
        <w:rPr>
          <w:rFonts w:ascii="Times New Roman" w:hAnsi="Times New Roman" w:cs="Times New Roman"/>
        </w:rPr>
        <w:t>s</w:t>
      </w:r>
      <w:r w:rsidR="00D11276" w:rsidRPr="007A5E01">
        <w:rPr>
          <w:rFonts w:ascii="Times New Roman" w:hAnsi="Times New Roman" w:cs="Times New Roman"/>
        </w:rPr>
        <w:t xml:space="preserve"> may benefit from non-market strategies</w:t>
      </w:r>
      <w:r w:rsidR="00D11276">
        <w:rPr>
          <w:rFonts w:ascii="Times New Roman" w:hAnsi="Times New Roman" w:cs="Times New Roman"/>
        </w:rPr>
        <w:t>, lobbying in particular,</w:t>
      </w:r>
      <w:r w:rsidR="00D11276" w:rsidRPr="007A5E01">
        <w:rPr>
          <w:rFonts w:ascii="Times New Roman" w:hAnsi="Times New Roman" w:cs="Times New Roman"/>
        </w:rPr>
        <w:t xml:space="preserve"> to reduce uncertainties in their environments. </w:t>
      </w:r>
      <w:r w:rsidR="00D11276">
        <w:rPr>
          <w:rFonts w:ascii="Times New Roman" w:hAnsi="Times New Roman" w:cs="Times New Roman"/>
        </w:rPr>
        <w:t xml:space="preserve"> L</w:t>
      </w:r>
      <w:r w:rsidR="00D11276" w:rsidRPr="007A5E01">
        <w:rPr>
          <w:rFonts w:ascii="Times New Roman" w:hAnsi="Times New Roman" w:cs="Times New Roman"/>
        </w:rPr>
        <w:t>obbying can help them have a voice in determining how the industry policies are shaped</w:t>
      </w:r>
      <w:r w:rsidR="00D11276">
        <w:rPr>
          <w:rFonts w:ascii="Times New Roman" w:hAnsi="Times New Roman" w:cs="Times New Roman"/>
        </w:rPr>
        <w:t xml:space="preserve">. </w:t>
      </w:r>
    </w:p>
    <w:p w14:paraId="3A028901" w14:textId="52F1004A" w:rsidR="000376BB" w:rsidRDefault="00D11276" w:rsidP="004E7B01">
      <w:pPr>
        <w:spacing w:line="480" w:lineRule="auto"/>
        <w:rPr>
          <w:rFonts w:ascii="Times New Roman" w:hAnsi="Times New Roman" w:cs="Times New Roman"/>
        </w:rPr>
      </w:pPr>
      <w:r>
        <w:rPr>
          <w:rFonts w:ascii="Times New Roman" w:hAnsi="Times New Roman" w:cs="Times New Roman"/>
        </w:rPr>
        <w:tab/>
        <w:t xml:space="preserve">Second, our study advances </w:t>
      </w:r>
      <w:r w:rsidRPr="007A5E01">
        <w:rPr>
          <w:rFonts w:ascii="Times New Roman" w:hAnsi="Times New Roman" w:cs="Times New Roman"/>
        </w:rPr>
        <w:t xml:space="preserve">the corporate political strategy research by </w:t>
      </w:r>
      <w:r>
        <w:rPr>
          <w:rFonts w:ascii="Times New Roman" w:hAnsi="Times New Roman" w:cs="Times New Roman"/>
        </w:rPr>
        <w:t>demonstrating</w:t>
      </w:r>
      <w:r w:rsidRPr="007A5E01">
        <w:rPr>
          <w:rFonts w:ascii="Times New Roman" w:hAnsi="Times New Roman" w:cs="Times New Roman"/>
        </w:rPr>
        <w:t xml:space="preserve"> VC-backing as an alternative ownership structure. </w:t>
      </w:r>
      <w:r w:rsidR="00FF2E92">
        <w:rPr>
          <w:rFonts w:ascii="Times New Roman" w:hAnsi="Times New Roman" w:cs="Times New Roman"/>
        </w:rPr>
        <w:t xml:space="preserve">Our findings add to the literature on corporate political strategy by indicating VC-backing as an antecedent of corporate political strategy. </w:t>
      </w:r>
      <w:r w:rsidR="00FF2E92" w:rsidRPr="007A5E01">
        <w:rPr>
          <w:rFonts w:ascii="Times New Roman" w:hAnsi="Times New Roman" w:cs="Times New Roman"/>
        </w:rPr>
        <w:t xml:space="preserve">A growing body of research has indicated several ownership structures such as institutional ownership, insider ownership, family ownership etc. </w:t>
      </w:r>
      <w:r w:rsidR="000D469A">
        <w:rPr>
          <w:rFonts w:ascii="Times New Roman" w:hAnsi="Times New Roman" w:cs="Times New Roman"/>
        </w:rPr>
        <w:t xml:space="preserve"> influence why companie</w:t>
      </w:r>
      <w:r w:rsidR="00FF2E92">
        <w:rPr>
          <w:rFonts w:ascii="Times New Roman" w:hAnsi="Times New Roman" w:cs="Times New Roman"/>
        </w:rPr>
        <w:t xml:space="preserve">s invest in </w:t>
      </w:r>
      <w:r w:rsidR="00FF2E92" w:rsidRPr="007A5E01">
        <w:rPr>
          <w:rFonts w:ascii="Times New Roman" w:hAnsi="Times New Roman" w:cs="Times New Roman"/>
        </w:rPr>
        <w:t>corporate political strategy</w:t>
      </w:r>
      <w:r w:rsidR="00FF2E92">
        <w:rPr>
          <w:rFonts w:ascii="Times New Roman" w:hAnsi="Times New Roman" w:cs="Times New Roman"/>
        </w:rPr>
        <w:t xml:space="preserve"> (</w:t>
      </w:r>
      <w:r w:rsidR="00A26DCA">
        <w:rPr>
          <w:rFonts w:ascii="Times New Roman" w:hAnsi="Times New Roman" w:cs="Times New Roman"/>
        </w:rPr>
        <w:t xml:space="preserve">Hadani, 2007, 2012; </w:t>
      </w:r>
      <w:r w:rsidR="00A26DCA">
        <w:rPr>
          <w:rFonts w:ascii="Times New Roman" w:eastAsia="Times New Roman" w:hAnsi="Times New Roman" w:cs="Times New Roman"/>
        </w:rPr>
        <w:t xml:space="preserve">Lux, Crook, &amp; Woehr, </w:t>
      </w:r>
      <w:r w:rsidR="00A26DCA" w:rsidRPr="00AF4815">
        <w:rPr>
          <w:rFonts w:ascii="Times New Roman" w:eastAsia="Times New Roman" w:hAnsi="Times New Roman" w:cs="Times New Roman"/>
        </w:rPr>
        <w:t>2011</w:t>
      </w:r>
      <w:r w:rsidR="00A26DCA">
        <w:rPr>
          <w:rFonts w:ascii="Times New Roman" w:eastAsia="Times New Roman" w:hAnsi="Times New Roman" w:cs="Times New Roman"/>
        </w:rPr>
        <w:t xml:space="preserve">; </w:t>
      </w:r>
      <w:r w:rsidR="00A26DCA">
        <w:rPr>
          <w:rFonts w:ascii="Times New Roman" w:hAnsi="Times New Roman" w:cs="Times New Roman"/>
        </w:rPr>
        <w:t>Ozer &amp; Alakent, 2013</w:t>
      </w:r>
      <w:r w:rsidR="00FF2E92">
        <w:rPr>
          <w:rFonts w:ascii="Times New Roman" w:hAnsi="Times New Roman" w:cs="Times New Roman"/>
        </w:rPr>
        <w:t xml:space="preserve">). </w:t>
      </w:r>
      <w:r w:rsidR="001B277A">
        <w:rPr>
          <w:rFonts w:ascii="Times New Roman" w:hAnsi="Times New Roman" w:cs="Times New Roman"/>
        </w:rPr>
        <w:t>Our study sugg</w:t>
      </w:r>
      <w:r w:rsidR="000D469A">
        <w:rPr>
          <w:rFonts w:ascii="Times New Roman" w:hAnsi="Times New Roman" w:cs="Times New Roman"/>
        </w:rPr>
        <w:t>ests how VC-backing affects companie</w:t>
      </w:r>
      <w:r w:rsidR="001B277A">
        <w:rPr>
          <w:rFonts w:ascii="Times New Roman" w:hAnsi="Times New Roman" w:cs="Times New Roman"/>
        </w:rPr>
        <w:t xml:space="preserve">s’ decisions to engage in political strategy. </w:t>
      </w:r>
    </w:p>
    <w:p w14:paraId="71F32B41" w14:textId="0D299594" w:rsidR="00C35E61" w:rsidRDefault="008D40A4" w:rsidP="004E7B01">
      <w:pPr>
        <w:spacing w:line="480" w:lineRule="auto"/>
        <w:rPr>
          <w:rFonts w:ascii="Times New Roman" w:hAnsi="Times New Roman" w:cs="Times New Roman"/>
        </w:rPr>
      </w:pPr>
      <w:r>
        <w:rPr>
          <w:rFonts w:ascii="Times New Roman" w:hAnsi="Times New Roman" w:cs="Times New Roman"/>
        </w:rPr>
        <w:tab/>
        <w:t xml:space="preserve">Our study also has implications for </w:t>
      </w:r>
      <w:r w:rsidRPr="007A5E01">
        <w:rPr>
          <w:rFonts w:ascii="Times New Roman" w:hAnsi="Times New Roman" w:cs="Times New Roman"/>
        </w:rPr>
        <w:t xml:space="preserve">the growing literature </w:t>
      </w:r>
      <w:r>
        <w:rPr>
          <w:rFonts w:ascii="Times New Roman" w:hAnsi="Times New Roman" w:cs="Times New Roman"/>
        </w:rPr>
        <w:t>that explores</w:t>
      </w:r>
      <w:r w:rsidRPr="007A5E01">
        <w:rPr>
          <w:rFonts w:ascii="Times New Roman" w:hAnsi="Times New Roman" w:cs="Times New Roman"/>
        </w:rPr>
        <w:t xml:space="preserve"> the integration of market and non-market strategies.  </w:t>
      </w:r>
      <w:r w:rsidR="00C35E61">
        <w:rPr>
          <w:rFonts w:ascii="Times New Roman" w:hAnsi="Times New Roman" w:cs="Times New Roman"/>
        </w:rPr>
        <w:t>While p</w:t>
      </w:r>
      <w:r w:rsidRPr="007A5E01">
        <w:rPr>
          <w:rFonts w:ascii="Times New Roman" w:hAnsi="Times New Roman" w:cs="Times New Roman"/>
        </w:rPr>
        <w:t xml:space="preserve">rior </w:t>
      </w:r>
      <w:r w:rsidR="00C35E61">
        <w:rPr>
          <w:rFonts w:ascii="Times New Roman" w:hAnsi="Times New Roman" w:cs="Times New Roman"/>
        </w:rPr>
        <w:t>studies in this stream have</w:t>
      </w:r>
      <w:r w:rsidRPr="007A5E01">
        <w:rPr>
          <w:rFonts w:ascii="Times New Roman" w:hAnsi="Times New Roman" w:cs="Times New Roman"/>
        </w:rPr>
        <w:t xml:space="preserve"> focused m</w:t>
      </w:r>
      <w:r w:rsidR="000D469A">
        <w:rPr>
          <w:rFonts w:ascii="Times New Roman" w:hAnsi="Times New Roman" w:cs="Times New Roman"/>
        </w:rPr>
        <w:t>ainly on the integration of company</w:t>
      </w:r>
      <w:r w:rsidRPr="007A5E01">
        <w:rPr>
          <w:rFonts w:ascii="Times New Roman" w:hAnsi="Times New Roman" w:cs="Times New Roman"/>
        </w:rPr>
        <w:t xml:space="preserve"> performance and corporate political stra</w:t>
      </w:r>
      <w:r w:rsidR="00C35E61">
        <w:rPr>
          <w:rFonts w:ascii="Times New Roman" w:hAnsi="Times New Roman" w:cs="Times New Roman"/>
        </w:rPr>
        <w:t xml:space="preserve">tegy </w:t>
      </w:r>
      <w:r w:rsidR="009C630B">
        <w:rPr>
          <w:rFonts w:ascii="Times New Roman" w:hAnsi="Times New Roman" w:cs="Times New Roman"/>
        </w:rPr>
        <w:t>(</w:t>
      </w:r>
      <w:r w:rsidR="007B0B06">
        <w:rPr>
          <w:rFonts w:ascii="Times New Roman" w:hAnsi="Times New Roman" w:cs="Times New Roman"/>
        </w:rPr>
        <w:t>Hadani &amp; Schuler, 2013; Mellahi, Frynas, Sun, &amp; Siegel, 2016; Rajwani &amp; Liedong, 2015</w:t>
      </w:r>
      <w:r w:rsidR="009C630B">
        <w:rPr>
          <w:rFonts w:ascii="Times New Roman" w:hAnsi="Times New Roman" w:cs="Times New Roman"/>
        </w:rPr>
        <w:t>)</w:t>
      </w:r>
      <w:r w:rsidR="00C35E61">
        <w:rPr>
          <w:rFonts w:ascii="Times New Roman" w:hAnsi="Times New Roman" w:cs="Times New Roman"/>
        </w:rPr>
        <w:t xml:space="preserve">, we expand that focus to VC-backing as a market strategy and </w:t>
      </w:r>
    </w:p>
    <w:p w14:paraId="07BFCFD5" w14:textId="77777777" w:rsidR="00CE6596" w:rsidRDefault="008D40A4" w:rsidP="004E7B01">
      <w:pPr>
        <w:spacing w:line="480" w:lineRule="auto"/>
        <w:rPr>
          <w:rFonts w:ascii="Times New Roman" w:hAnsi="Times New Roman" w:cs="Times New Roman"/>
        </w:rPr>
      </w:pPr>
      <w:r w:rsidRPr="007A5E01">
        <w:rPr>
          <w:rFonts w:ascii="Times New Roman" w:hAnsi="Times New Roman" w:cs="Times New Roman"/>
        </w:rPr>
        <w:t xml:space="preserve">lobbying as a </w:t>
      </w:r>
      <w:r w:rsidR="00C35E61">
        <w:rPr>
          <w:rFonts w:ascii="Times New Roman" w:hAnsi="Times New Roman" w:cs="Times New Roman"/>
        </w:rPr>
        <w:t xml:space="preserve">non-market strategy. Our study indicates that </w:t>
      </w:r>
      <w:r w:rsidR="009C630B">
        <w:rPr>
          <w:rFonts w:ascii="Times New Roman" w:hAnsi="Times New Roman" w:cs="Times New Roman"/>
        </w:rPr>
        <w:t xml:space="preserve">VC-backed </w:t>
      </w:r>
      <w:r w:rsidRPr="007A5E01">
        <w:rPr>
          <w:rFonts w:ascii="Times New Roman" w:hAnsi="Times New Roman" w:cs="Times New Roman"/>
        </w:rPr>
        <w:t>firms manage their internal and external environment in a more integrated way</w:t>
      </w:r>
      <w:r w:rsidR="009C630B">
        <w:rPr>
          <w:rFonts w:ascii="Times New Roman" w:hAnsi="Times New Roman" w:cs="Times New Roman"/>
        </w:rPr>
        <w:t xml:space="preserve"> by investing in lobbying</w:t>
      </w:r>
      <w:r w:rsidRPr="007A5E01">
        <w:rPr>
          <w:rFonts w:ascii="Times New Roman" w:hAnsi="Times New Roman" w:cs="Times New Roman"/>
        </w:rPr>
        <w:t>.</w:t>
      </w:r>
    </w:p>
    <w:p w14:paraId="78D80CF7" w14:textId="77777777" w:rsidR="001F37F4" w:rsidRDefault="008D40A4" w:rsidP="004E7B01">
      <w:pPr>
        <w:spacing w:line="480" w:lineRule="auto"/>
        <w:rPr>
          <w:rFonts w:ascii="Times New Roman" w:hAnsi="Times New Roman" w:cs="Times New Roman"/>
        </w:rPr>
      </w:pPr>
      <w:r w:rsidRPr="007A5E01">
        <w:rPr>
          <w:rFonts w:ascii="Times New Roman" w:hAnsi="Times New Roman" w:cs="Times New Roman"/>
        </w:rPr>
        <w:t xml:space="preserve">   </w:t>
      </w:r>
      <w:r w:rsidR="005952EB">
        <w:rPr>
          <w:rFonts w:ascii="Times New Roman" w:hAnsi="Times New Roman" w:cs="Times New Roman"/>
        </w:rPr>
        <w:tab/>
      </w:r>
      <w:r w:rsidR="00A36713">
        <w:rPr>
          <w:rFonts w:ascii="Times New Roman" w:hAnsi="Times New Roman" w:cs="Times New Roman"/>
        </w:rPr>
        <w:t xml:space="preserve">We also note that this study is not without limitations. </w:t>
      </w:r>
      <w:r w:rsidR="00FE3A2E">
        <w:rPr>
          <w:rFonts w:ascii="Times New Roman" w:hAnsi="Times New Roman" w:cs="Times New Roman"/>
        </w:rPr>
        <w:t xml:space="preserve">A common limitation in political strategy literature is the availability of data. </w:t>
      </w:r>
      <w:r w:rsidR="00F148DE">
        <w:rPr>
          <w:rFonts w:ascii="Times New Roman" w:hAnsi="Times New Roman" w:cs="Times New Roman"/>
        </w:rPr>
        <w:t xml:space="preserve">Although VC backing has the </w:t>
      </w:r>
      <w:r w:rsidR="00F148DE">
        <w:rPr>
          <w:rFonts w:ascii="Times New Roman" w:hAnsi="Times New Roman" w:cs="Times New Roman"/>
        </w:rPr>
        <w:lastRenderedPageBreak/>
        <w:t>strongest influence during early stages of founding</w:t>
      </w:r>
      <w:r w:rsidR="00D26607">
        <w:rPr>
          <w:rFonts w:ascii="Times New Roman" w:hAnsi="Times New Roman" w:cs="Times New Roman"/>
        </w:rPr>
        <w:t>, which usually corresponds to the pre-IPO stage</w:t>
      </w:r>
      <w:r w:rsidR="00564C16">
        <w:rPr>
          <w:rFonts w:ascii="Times New Roman" w:hAnsi="Times New Roman" w:cs="Times New Roman"/>
        </w:rPr>
        <w:t>,</w:t>
      </w:r>
      <w:r w:rsidR="00F148DE">
        <w:rPr>
          <w:rFonts w:ascii="Times New Roman" w:hAnsi="Times New Roman" w:cs="Times New Roman"/>
        </w:rPr>
        <w:t xml:space="preserve"> </w:t>
      </w:r>
      <w:r w:rsidR="000D469A">
        <w:rPr>
          <w:rFonts w:ascii="Times New Roman" w:hAnsi="Times New Roman" w:cs="Times New Roman"/>
        </w:rPr>
        <w:t>our data consists of companie</w:t>
      </w:r>
      <w:r w:rsidR="00D26607">
        <w:rPr>
          <w:rFonts w:ascii="Times New Roman" w:hAnsi="Times New Roman" w:cs="Times New Roman"/>
        </w:rPr>
        <w:t>s that went through IPO and became public</w:t>
      </w:r>
      <w:r w:rsidR="00D83F7F">
        <w:rPr>
          <w:rFonts w:ascii="Times New Roman" w:hAnsi="Times New Roman" w:cs="Times New Roman"/>
        </w:rPr>
        <w:t xml:space="preserve">. </w:t>
      </w:r>
      <w:r w:rsidR="009A018E">
        <w:rPr>
          <w:rFonts w:ascii="Times New Roman" w:hAnsi="Times New Roman" w:cs="Times New Roman"/>
        </w:rPr>
        <w:t>Future research can examine VC backed</w:t>
      </w:r>
      <w:r w:rsidR="000D469A">
        <w:rPr>
          <w:rFonts w:ascii="Times New Roman" w:hAnsi="Times New Roman" w:cs="Times New Roman"/>
        </w:rPr>
        <w:t xml:space="preserve"> companies</w:t>
      </w:r>
      <w:r w:rsidR="00D83F7F">
        <w:rPr>
          <w:rFonts w:ascii="Times New Roman" w:hAnsi="Times New Roman" w:cs="Times New Roman"/>
        </w:rPr>
        <w:t>’</w:t>
      </w:r>
      <w:r w:rsidR="009A018E">
        <w:rPr>
          <w:rFonts w:ascii="Times New Roman" w:hAnsi="Times New Roman" w:cs="Times New Roman"/>
        </w:rPr>
        <w:t xml:space="preserve"> political</w:t>
      </w:r>
      <w:r w:rsidR="00D83F7F">
        <w:rPr>
          <w:rFonts w:ascii="Times New Roman" w:hAnsi="Times New Roman" w:cs="Times New Roman"/>
        </w:rPr>
        <w:t xml:space="preserve"> strategy before</w:t>
      </w:r>
      <w:r w:rsidR="00D26607">
        <w:rPr>
          <w:rFonts w:ascii="Times New Roman" w:hAnsi="Times New Roman" w:cs="Times New Roman"/>
        </w:rPr>
        <w:t xml:space="preserve"> they become public</w:t>
      </w:r>
      <w:r w:rsidR="00D83F7F">
        <w:rPr>
          <w:rFonts w:ascii="Times New Roman" w:hAnsi="Times New Roman" w:cs="Times New Roman"/>
        </w:rPr>
        <w:t xml:space="preserve">. </w:t>
      </w:r>
      <w:r w:rsidR="0064000D">
        <w:rPr>
          <w:rFonts w:ascii="Times New Roman" w:hAnsi="Times New Roman" w:cs="Times New Roman"/>
        </w:rPr>
        <w:t xml:space="preserve">In this study, our political strategy </w:t>
      </w:r>
      <w:r w:rsidR="00F148DE">
        <w:rPr>
          <w:rFonts w:ascii="Times New Roman" w:hAnsi="Times New Roman" w:cs="Times New Roman"/>
        </w:rPr>
        <w:t>approach was limited to lobbying</w:t>
      </w:r>
      <w:r w:rsidR="0064000D">
        <w:rPr>
          <w:rFonts w:ascii="Times New Roman" w:hAnsi="Times New Roman" w:cs="Times New Roman"/>
        </w:rPr>
        <w:t xml:space="preserve">. </w:t>
      </w:r>
      <w:r w:rsidR="00830A5D">
        <w:rPr>
          <w:rFonts w:ascii="Times New Roman" w:hAnsi="Times New Roman" w:cs="Times New Roman"/>
        </w:rPr>
        <w:t>Although l</w:t>
      </w:r>
      <w:r w:rsidR="00F148DE">
        <w:rPr>
          <w:rFonts w:ascii="Times New Roman" w:hAnsi="Times New Roman" w:cs="Times New Roman"/>
        </w:rPr>
        <w:t>obbying is the most common type</w:t>
      </w:r>
      <w:r w:rsidR="00830A5D">
        <w:rPr>
          <w:rFonts w:ascii="Times New Roman" w:hAnsi="Times New Roman" w:cs="Times New Roman"/>
        </w:rPr>
        <w:t xml:space="preserve"> of political participation, </w:t>
      </w:r>
      <w:r w:rsidR="00F148DE">
        <w:rPr>
          <w:rFonts w:ascii="Times New Roman" w:hAnsi="Times New Roman" w:cs="Times New Roman"/>
        </w:rPr>
        <w:t xml:space="preserve">only 10% of American </w:t>
      </w:r>
      <w:r w:rsidR="008616A0">
        <w:rPr>
          <w:rFonts w:ascii="Times New Roman" w:hAnsi="Times New Roman" w:cs="Times New Roman"/>
        </w:rPr>
        <w:t>corporations</w:t>
      </w:r>
      <w:r w:rsidR="00F148DE">
        <w:rPr>
          <w:rFonts w:ascii="Times New Roman" w:hAnsi="Times New Roman" w:cs="Times New Roman"/>
        </w:rPr>
        <w:t xml:space="preserve"> lobby. </w:t>
      </w:r>
      <w:r w:rsidR="00830A5D">
        <w:rPr>
          <w:rFonts w:ascii="Times New Roman" w:hAnsi="Times New Roman" w:cs="Times New Roman"/>
        </w:rPr>
        <w:t xml:space="preserve">Other types of political contributions are much smaller in comparison (Chen, Parsley and Yang, 2015). </w:t>
      </w:r>
      <w:r w:rsidR="00564C16">
        <w:rPr>
          <w:rFonts w:ascii="Times New Roman" w:hAnsi="Times New Roman" w:cs="Times New Roman"/>
        </w:rPr>
        <w:t>We focused on lobbying because t</w:t>
      </w:r>
      <w:r w:rsidR="00B53B39">
        <w:rPr>
          <w:rFonts w:ascii="Times New Roman" w:hAnsi="Times New Roman" w:cs="Times New Roman"/>
        </w:rPr>
        <w:t xml:space="preserve">esting other forms of political strategy such as PAC and soft money contributions among VC backed companies would drop our sample size dramatically. </w:t>
      </w:r>
      <w:r w:rsidR="00C62522">
        <w:rPr>
          <w:rFonts w:ascii="Times New Roman" w:hAnsi="Times New Roman" w:cs="Times New Roman"/>
        </w:rPr>
        <w:t>According to Cao et al</w:t>
      </w:r>
      <w:r w:rsidR="000D469A">
        <w:rPr>
          <w:rFonts w:ascii="Times New Roman" w:hAnsi="Times New Roman" w:cs="Times New Roman"/>
        </w:rPr>
        <w:t>. 2018</w:t>
      </w:r>
      <w:r w:rsidR="00C62522">
        <w:rPr>
          <w:rFonts w:ascii="Times New Roman" w:hAnsi="Times New Roman" w:cs="Times New Roman"/>
        </w:rPr>
        <w:t>, lobbying overshadows PAC contributions in terms of expenditu</w:t>
      </w:r>
      <w:r w:rsidR="000D469A">
        <w:rPr>
          <w:rFonts w:ascii="Times New Roman" w:hAnsi="Times New Roman" w:cs="Times New Roman"/>
        </w:rPr>
        <w:t>res and number of companie</w:t>
      </w:r>
      <w:r w:rsidR="00350286">
        <w:rPr>
          <w:rFonts w:ascii="Times New Roman" w:hAnsi="Times New Roman" w:cs="Times New Roman"/>
        </w:rPr>
        <w:t>s engaged however PAC contributions</w:t>
      </w:r>
      <w:r w:rsidR="000D469A">
        <w:rPr>
          <w:rFonts w:ascii="Times New Roman" w:hAnsi="Times New Roman" w:cs="Times New Roman"/>
        </w:rPr>
        <w:t xml:space="preserve"> can indirectly benefit a company</w:t>
      </w:r>
      <w:r w:rsidR="00377B7D">
        <w:rPr>
          <w:rFonts w:ascii="Times New Roman" w:hAnsi="Times New Roman" w:cs="Times New Roman"/>
        </w:rPr>
        <w:t>.</w:t>
      </w:r>
      <w:r w:rsidR="00D23907">
        <w:rPr>
          <w:rFonts w:ascii="Times New Roman" w:hAnsi="Times New Roman" w:cs="Times New Roman"/>
        </w:rPr>
        <w:t xml:space="preserve"> Future research can include other forms of political contributions for a more comprehensive understanding of how VC backing affects political strategies.</w:t>
      </w:r>
      <w:r w:rsidR="00377B7D">
        <w:rPr>
          <w:rFonts w:ascii="Times New Roman" w:hAnsi="Times New Roman" w:cs="Times New Roman"/>
        </w:rPr>
        <w:t xml:space="preserve"> </w:t>
      </w:r>
    </w:p>
    <w:p w14:paraId="3E45FF7B" w14:textId="13765AC4" w:rsidR="00D83F7F" w:rsidRPr="007A5E01" w:rsidRDefault="00377B7D" w:rsidP="004E7B01">
      <w:pPr>
        <w:spacing w:line="480" w:lineRule="auto"/>
        <w:ind w:firstLine="720"/>
        <w:rPr>
          <w:rFonts w:ascii="Times New Roman" w:hAnsi="Times New Roman" w:cs="Times New Roman"/>
        </w:rPr>
      </w:pPr>
      <w:r>
        <w:rPr>
          <w:rFonts w:ascii="Times New Roman" w:hAnsi="Times New Roman" w:cs="Times New Roman"/>
        </w:rPr>
        <w:t>Another limitation we had was our sample mostly cons</w:t>
      </w:r>
      <w:r w:rsidR="000D469A">
        <w:rPr>
          <w:rFonts w:ascii="Times New Roman" w:hAnsi="Times New Roman" w:cs="Times New Roman"/>
        </w:rPr>
        <w:t>isted of large companie</w:t>
      </w:r>
      <w:r w:rsidR="00D23907">
        <w:rPr>
          <w:rFonts w:ascii="Times New Roman" w:hAnsi="Times New Roman" w:cs="Times New Roman"/>
        </w:rPr>
        <w:t>s. As can be seen from the correlation table (Table 3), there is a strong corre</w:t>
      </w:r>
      <w:r w:rsidR="000D469A">
        <w:rPr>
          <w:rFonts w:ascii="Times New Roman" w:hAnsi="Times New Roman" w:cs="Times New Roman"/>
        </w:rPr>
        <w:t>lation between lobbying and company</w:t>
      </w:r>
      <w:r w:rsidR="00D23907">
        <w:rPr>
          <w:rFonts w:ascii="Times New Roman" w:hAnsi="Times New Roman" w:cs="Times New Roman"/>
        </w:rPr>
        <w:t xml:space="preserve"> size. </w:t>
      </w:r>
      <w:r w:rsidR="004D40BB">
        <w:rPr>
          <w:rFonts w:ascii="Times New Roman" w:hAnsi="Times New Roman" w:cs="Times New Roman"/>
        </w:rPr>
        <w:t>This is a common limitation in th</w:t>
      </w:r>
      <w:r w:rsidR="000D469A">
        <w:rPr>
          <w:rFonts w:ascii="Times New Roman" w:hAnsi="Times New Roman" w:cs="Times New Roman"/>
        </w:rPr>
        <w:t>e lobbying literature since companies</w:t>
      </w:r>
      <w:r w:rsidR="004D40BB">
        <w:rPr>
          <w:rFonts w:ascii="Times New Roman" w:hAnsi="Times New Roman" w:cs="Times New Roman"/>
        </w:rPr>
        <w:t xml:space="preserve"> that spend</w:t>
      </w:r>
      <w:r w:rsidR="00F06D90">
        <w:rPr>
          <w:rFonts w:ascii="Times New Roman" w:hAnsi="Times New Roman" w:cs="Times New Roman"/>
        </w:rPr>
        <w:t xml:space="preserve"> more</w:t>
      </w:r>
      <w:r w:rsidR="004D40BB">
        <w:rPr>
          <w:rFonts w:ascii="Times New Roman" w:hAnsi="Times New Roman" w:cs="Times New Roman"/>
        </w:rPr>
        <w:t xml:space="preserve"> </w:t>
      </w:r>
      <w:r w:rsidR="0088651A">
        <w:rPr>
          <w:rFonts w:ascii="Times New Roman" w:hAnsi="Times New Roman" w:cs="Times New Roman"/>
        </w:rPr>
        <w:t>money on lobbying tend to be large</w:t>
      </w:r>
      <w:r w:rsidR="000D469A">
        <w:rPr>
          <w:rFonts w:ascii="Times New Roman" w:hAnsi="Times New Roman" w:cs="Times New Roman"/>
        </w:rPr>
        <w:t xml:space="preserve"> companie</w:t>
      </w:r>
      <w:r w:rsidR="004D40BB">
        <w:rPr>
          <w:rFonts w:ascii="Times New Roman" w:hAnsi="Times New Roman" w:cs="Times New Roman"/>
        </w:rPr>
        <w:t>s</w:t>
      </w:r>
      <w:r w:rsidR="00591D22">
        <w:rPr>
          <w:rFonts w:ascii="Times New Roman" w:hAnsi="Times New Roman" w:cs="Times New Roman"/>
        </w:rPr>
        <w:t xml:space="preserve"> (Drop &amp; Hansen, </w:t>
      </w:r>
      <w:r w:rsidR="00AF572F">
        <w:rPr>
          <w:rFonts w:ascii="Times New Roman" w:hAnsi="Times New Roman" w:cs="Times New Roman"/>
        </w:rPr>
        <w:t>2006)</w:t>
      </w:r>
      <w:r w:rsidR="00F06D90">
        <w:rPr>
          <w:rFonts w:ascii="Times New Roman" w:hAnsi="Times New Roman" w:cs="Times New Roman"/>
        </w:rPr>
        <w:t xml:space="preserve">. </w:t>
      </w:r>
      <w:r w:rsidR="004D40BB">
        <w:rPr>
          <w:rFonts w:ascii="Times New Roman" w:hAnsi="Times New Roman" w:cs="Times New Roman"/>
        </w:rPr>
        <w:t xml:space="preserve"> </w:t>
      </w:r>
      <w:r w:rsidR="00830A5D">
        <w:rPr>
          <w:rFonts w:ascii="Times New Roman" w:hAnsi="Times New Roman" w:cs="Times New Roman"/>
        </w:rPr>
        <w:t>We believe that futur</w:t>
      </w:r>
      <w:r w:rsidR="000D469A">
        <w:rPr>
          <w:rFonts w:ascii="Times New Roman" w:hAnsi="Times New Roman" w:cs="Times New Roman"/>
        </w:rPr>
        <w:t>e studies can examine small companie</w:t>
      </w:r>
      <w:r w:rsidR="00830A5D">
        <w:rPr>
          <w:rFonts w:ascii="Times New Roman" w:hAnsi="Times New Roman" w:cs="Times New Roman"/>
        </w:rPr>
        <w:t>s and</w:t>
      </w:r>
      <w:r w:rsidR="00F90468">
        <w:rPr>
          <w:rFonts w:ascii="Times New Roman" w:hAnsi="Times New Roman" w:cs="Times New Roman"/>
        </w:rPr>
        <w:t xml:space="preserve"> their political contributions. </w:t>
      </w:r>
    </w:p>
    <w:p w14:paraId="46C5F026" w14:textId="77777777" w:rsidR="007A5E01" w:rsidRPr="007A5E01" w:rsidRDefault="007A5E01" w:rsidP="004E7B01">
      <w:pPr>
        <w:spacing w:line="480" w:lineRule="auto"/>
        <w:rPr>
          <w:rFonts w:ascii="Times New Roman" w:hAnsi="Times New Roman" w:cs="Times New Roman"/>
          <w:b/>
        </w:rPr>
      </w:pPr>
      <w:bookmarkStart w:id="0" w:name="_GoBack"/>
      <w:bookmarkEnd w:id="0"/>
    </w:p>
    <w:p w14:paraId="329ACAEE" w14:textId="77777777" w:rsidR="007A5E01" w:rsidRPr="00400D06" w:rsidRDefault="007A5E01" w:rsidP="004E7B01">
      <w:pPr>
        <w:spacing w:line="480" w:lineRule="auto"/>
        <w:rPr>
          <w:rFonts w:ascii="Times New Roman" w:hAnsi="Times New Roman" w:cs="Times New Roman"/>
          <w:b/>
        </w:rPr>
      </w:pPr>
    </w:p>
    <w:p w14:paraId="6BF1E5E6" w14:textId="77777777" w:rsidR="003757D1" w:rsidRDefault="003757D1" w:rsidP="004E7B01">
      <w:pPr>
        <w:spacing w:line="480" w:lineRule="auto"/>
        <w:rPr>
          <w:rFonts w:ascii="Times New Roman" w:hAnsi="Times New Roman" w:cs="Times New Roman"/>
          <w:b/>
        </w:rPr>
      </w:pPr>
      <w:r>
        <w:rPr>
          <w:rFonts w:ascii="Times New Roman" w:hAnsi="Times New Roman" w:cs="Times New Roman"/>
          <w:b/>
        </w:rPr>
        <w:br w:type="page"/>
      </w:r>
    </w:p>
    <w:p w14:paraId="02B8B301" w14:textId="48186BF1" w:rsidR="0047476C" w:rsidRPr="000E33A5" w:rsidRDefault="0047476C">
      <w:pPr>
        <w:rPr>
          <w:rFonts w:ascii="Times New Roman" w:hAnsi="Times New Roman" w:cs="Times New Roman"/>
          <w:b/>
        </w:rPr>
      </w:pPr>
      <w:r w:rsidRPr="000E33A5">
        <w:rPr>
          <w:rFonts w:ascii="Times New Roman" w:hAnsi="Times New Roman" w:cs="Times New Roman"/>
          <w:b/>
        </w:rPr>
        <w:lastRenderedPageBreak/>
        <w:t>References</w:t>
      </w:r>
    </w:p>
    <w:p w14:paraId="02B7E603" w14:textId="77777777" w:rsidR="0047476C" w:rsidRPr="007A5E01" w:rsidRDefault="0047476C">
      <w:pPr>
        <w:rPr>
          <w:rFonts w:ascii="Times New Roman" w:hAnsi="Times New Roman" w:cs="Times New Roman"/>
          <w:b/>
        </w:rPr>
      </w:pPr>
    </w:p>
    <w:p w14:paraId="61B77FFD" w14:textId="77777777" w:rsidR="00E27697" w:rsidRPr="00A36982" w:rsidRDefault="00E27697" w:rsidP="00E27697">
      <w:pPr>
        <w:rPr>
          <w:rFonts w:ascii="Times New Roman" w:eastAsia="Times New Roman" w:hAnsi="Times New Roman" w:cs="Times New Roman"/>
        </w:rPr>
      </w:pPr>
      <w:r w:rsidRPr="00A36982">
        <w:rPr>
          <w:rFonts w:ascii="Times New Roman" w:eastAsia="Times New Roman" w:hAnsi="Times New Roman" w:cs="Times New Roman"/>
        </w:rPr>
        <w:t>Ahuja</w:t>
      </w:r>
      <w:r>
        <w:rPr>
          <w:rFonts w:ascii="Times New Roman" w:eastAsia="Times New Roman" w:hAnsi="Times New Roman" w:cs="Times New Roman"/>
        </w:rPr>
        <w:t xml:space="preserve">, G and </w:t>
      </w:r>
      <w:r w:rsidRPr="00A36982">
        <w:rPr>
          <w:rFonts w:ascii="Times New Roman" w:eastAsia="Times New Roman" w:hAnsi="Times New Roman" w:cs="Times New Roman"/>
        </w:rPr>
        <w:t>Katila</w:t>
      </w:r>
      <w:r>
        <w:rPr>
          <w:rFonts w:ascii="Times New Roman" w:eastAsia="Times New Roman" w:hAnsi="Times New Roman" w:cs="Times New Roman"/>
        </w:rPr>
        <w:t>, R</w:t>
      </w:r>
      <w:r w:rsidRPr="00A36982">
        <w:rPr>
          <w:rFonts w:ascii="Times New Roman" w:eastAsia="Times New Roman" w:hAnsi="Times New Roman" w:cs="Times New Roman"/>
        </w:rPr>
        <w:t xml:space="preserve">. </w:t>
      </w:r>
      <w:r>
        <w:rPr>
          <w:rFonts w:ascii="Times New Roman" w:eastAsia="Times New Roman" w:hAnsi="Times New Roman" w:cs="Times New Roman"/>
        </w:rPr>
        <w:t>(</w:t>
      </w:r>
      <w:r w:rsidRPr="00A36982">
        <w:rPr>
          <w:rFonts w:ascii="Times New Roman" w:eastAsia="Times New Roman" w:hAnsi="Times New Roman" w:cs="Times New Roman"/>
        </w:rPr>
        <w:t>2001</w:t>
      </w:r>
      <w:r>
        <w:rPr>
          <w:rFonts w:ascii="Times New Roman" w:eastAsia="Times New Roman" w:hAnsi="Times New Roman" w:cs="Times New Roman"/>
        </w:rPr>
        <w:t>) ‘</w:t>
      </w:r>
      <w:r w:rsidRPr="00A36982">
        <w:rPr>
          <w:rFonts w:ascii="Times New Roman" w:eastAsia="Times New Roman" w:hAnsi="Times New Roman" w:cs="Times New Roman"/>
        </w:rPr>
        <w:t>Technological acquisitions and the innovation performance of acquiring firms: a longitudinal study</w:t>
      </w:r>
      <w:r>
        <w:rPr>
          <w:rFonts w:ascii="Times New Roman" w:eastAsia="Times New Roman" w:hAnsi="Times New Roman" w:cs="Times New Roman"/>
        </w:rPr>
        <w:t>’,</w:t>
      </w:r>
      <w:r w:rsidRPr="00A36982">
        <w:rPr>
          <w:rFonts w:ascii="Times New Roman" w:eastAsia="Times New Roman" w:hAnsi="Times New Roman" w:cs="Times New Roman"/>
        </w:rPr>
        <w:t xml:space="preserve"> </w:t>
      </w:r>
      <w:r w:rsidRPr="00950D9D">
        <w:rPr>
          <w:rFonts w:ascii="Times New Roman" w:eastAsia="Times New Roman" w:hAnsi="Times New Roman" w:cs="Times New Roman"/>
          <w:i/>
        </w:rPr>
        <w:t>Strategic Management Journal</w:t>
      </w:r>
      <w:r>
        <w:rPr>
          <w:rFonts w:ascii="Times New Roman" w:eastAsia="Times New Roman" w:hAnsi="Times New Roman" w:cs="Times New Roman"/>
        </w:rPr>
        <w:t>,</w:t>
      </w:r>
      <w:r w:rsidRPr="00A36982">
        <w:rPr>
          <w:rFonts w:ascii="Times New Roman" w:eastAsia="Times New Roman" w:hAnsi="Times New Roman" w:cs="Times New Roman"/>
        </w:rPr>
        <w:t xml:space="preserve"> </w:t>
      </w:r>
      <w:r>
        <w:rPr>
          <w:rFonts w:ascii="Times New Roman" w:eastAsia="Times New Roman" w:hAnsi="Times New Roman" w:cs="Times New Roman"/>
        </w:rPr>
        <w:t>22(3),</w:t>
      </w:r>
      <w:r w:rsidRPr="00A36982">
        <w:rPr>
          <w:rFonts w:ascii="Times New Roman" w:eastAsia="Times New Roman" w:hAnsi="Times New Roman" w:cs="Times New Roman"/>
        </w:rPr>
        <w:t xml:space="preserve"> 197-220. </w:t>
      </w:r>
    </w:p>
    <w:p w14:paraId="57B5F67C" w14:textId="77777777" w:rsidR="00E27697" w:rsidRPr="00A36982" w:rsidRDefault="00E27697" w:rsidP="00E27697">
      <w:pPr>
        <w:rPr>
          <w:rFonts w:ascii="Times New Roman" w:eastAsia="Times New Roman" w:hAnsi="Times New Roman" w:cs="Times New Roman"/>
        </w:rPr>
      </w:pPr>
    </w:p>
    <w:p w14:paraId="7ABDCA43" w14:textId="77777777" w:rsidR="00E27697" w:rsidRPr="009F421B" w:rsidRDefault="00E27697" w:rsidP="00E27697">
      <w:pPr>
        <w:rPr>
          <w:rFonts w:ascii="Times New Roman" w:eastAsia="Times New Roman" w:hAnsi="Times New Roman" w:cs="Times New Roman"/>
          <w:color w:val="000000" w:themeColor="text1"/>
          <w:shd w:val="clear" w:color="auto" w:fill="FFFFFF"/>
        </w:rPr>
      </w:pPr>
      <w:r w:rsidRPr="009F421B">
        <w:rPr>
          <w:rFonts w:ascii="Times New Roman" w:eastAsia="Times New Roman" w:hAnsi="Times New Roman" w:cs="Times New Roman"/>
          <w:bCs/>
          <w:color w:val="000000" w:themeColor="text1"/>
          <w:shd w:val="clear" w:color="auto" w:fill="FFFFFF"/>
        </w:rPr>
        <w:t>Albuquerque</w:t>
      </w:r>
      <w:r>
        <w:rPr>
          <w:rFonts w:ascii="Times New Roman" w:eastAsia="Times New Roman" w:hAnsi="Times New Roman" w:cs="Times New Roman"/>
          <w:color w:val="000000" w:themeColor="text1"/>
          <w:shd w:val="clear" w:color="auto" w:fill="FFFFFF"/>
        </w:rPr>
        <w:t xml:space="preserve">, RA, </w:t>
      </w:r>
      <w:r w:rsidRPr="009F421B">
        <w:rPr>
          <w:rFonts w:ascii="Times New Roman" w:eastAsia="Times New Roman" w:hAnsi="Times New Roman" w:cs="Times New Roman"/>
          <w:bCs/>
          <w:color w:val="000000" w:themeColor="text1"/>
          <w:shd w:val="clear" w:color="auto" w:fill="FFFFFF"/>
        </w:rPr>
        <w:t>Lei</w:t>
      </w:r>
      <w:r>
        <w:rPr>
          <w:rFonts w:ascii="Times New Roman" w:eastAsia="Times New Roman" w:hAnsi="Times New Roman" w:cs="Times New Roman"/>
          <w:color w:val="000000" w:themeColor="text1"/>
          <w:shd w:val="clear" w:color="auto" w:fill="FFFFFF"/>
        </w:rPr>
        <w:t>, Z, Rocholl, J and Zhang. (</w:t>
      </w:r>
      <w:r w:rsidRPr="009F421B">
        <w:rPr>
          <w:rFonts w:ascii="Times New Roman" w:eastAsia="Times New Roman" w:hAnsi="Times New Roman" w:cs="Times New Roman"/>
          <w:color w:val="000000" w:themeColor="text1"/>
          <w:shd w:val="clear" w:color="auto" w:fill="FFFFFF"/>
        </w:rPr>
        <w:t>2016</w:t>
      </w:r>
      <w:r>
        <w:rPr>
          <w:rFonts w:ascii="Times New Roman" w:eastAsia="Times New Roman" w:hAnsi="Times New Roman" w:cs="Times New Roman"/>
          <w:color w:val="000000" w:themeColor="text1"/>
          <w:shd w:val="clear" w:color="auto" w:fill="FFFFFF"/>
        </w:rPr>
        <w:t>) ‘</w:t>
      </w:r>
      <w:r>
        <w:rPr>
          <w:rFonts w:ascii="Times New Roman" w:eastAsia="Times New Roman" w:hAnsi="Times New Roman" w:cs="Times New Roman"/>
          <w:bCs/>
          <w:color w:val="000000" w:themeColor="text1"/>
          <w:shd w:val="clear" w:color="auto" w:fill="FFFFFF"/>
        </w:rPr>
        <w:t>Institutional investors and corporate political a</w:t>
      </w:r>
      <w:r w:rsidRPr="009F421B">
        <w:rPr>
          <w:rFonts w:ascii="Times New Roman" w:eastAsia="Times New Roman" w:hAnsi="Times New Roman" w:cs="Times New Roman"/>
          <w:bCs/>
          <w:color w:val="000000" w:themeColor="text1"/>
          <w:shd w:val="clear" w:color="auto" w:fill="FFFFFF"/>
        </w:rPr>
        <w:t>ctivism</w:t>
      </w:r>
      <w:r>
        <w:rPr>
          <w:rFonts w:ascii="Times New Roman" w:eastAsia="Times New Roman" w:hAnsi="Times New Roman" w:cs="Times New Roman"/>
          <w:bCs/>
          <w:color w:val="000000" w:themeColor="text1"/>
          <w:shd w:val="clear" w:color="auto" w:fill="FFFFFF"/>
        </w:rPr>
        <w:t>’</w:t>
      </w:r>
      <w:r w:rsidRPr="009F421B">
        <w:rPr>
          <w:rFonts w:ascii="Times New Roman" w:eastAsia="Times New Roman" w:hAnsi="Times New Roman" w:cs="Times New Roman"/>
          <w:color w:val="000000" w:themeColor="text1"/>
          <w:shd w:val="clear" w:color="auto" w:fill="FFFFFF"/>
        </w:rPr>
        <w:t xml:space="preserve">. Working paper. </w:t>
      </w:r>
    </w:p>
    <w:p w14:paraId="5E0556A9" w14:textId="77777777" w:rsidR="00E27697" w:rsidRPr="009F421B" w:rsidRDefault="00E27697" w:rsidP="00E27697">
      <w:pPr>
        <w:rPr>
          <w:rFonts w:ascii="Times New Roman" w:eastAsia="Times New Roman" w:hAnsi="Times New Roman" w:cs="Times New Roman"/>
          <w:color w:val="000000" w:themeColor="text1"/>
          <w:shd w:val="clear" w:color="auto" w:fill="FFFFFF"/>
        </w:rPr>
      </w:pPr>
    </w:p>
    <w:p w14:paraId="0DDA8802" w14:textId="77777777" w:rsidR="00E27697" w:rsidRPr="000805DB" w:rsidRDefault="00E27697" w:rsidP="00E27697">
      <w:pPr>
        <w:rPr>
          <w:rFonts w:ascii="Times New Roman" w:eastAsia="Times New Roman" w:hAnsi="Times New Roman" w:cs="Times New Roman"/>
          <w:color w:val="000000"/>
        </w:rPr>
      </w:pPr>
      <w:r w:rsidRPr="000805DB">
        <w:rPr>
          <w:rFonts w:ascii="Times New Roman" w:eastAsia="Times New Roman" w:hAnsi="Times New Roman" w:cs="Times New Roman"/>
          <w:color w:val="000000"/>
        </w:rPr>
        <w:t>Alexander, </w:t>
      </w:r>
      <w:r>
        <w:rPr>
          <w:rFonts w:ascii="Times New Roman" w:eastAsia="Times New Roman" w:hAnsi="Times New Roman" w:cs="Times New Roman"/>
          <w:color w:val="000000"/>
        </w:rPr>
        <w:t xml:space="preserve">R, </w:t>
      </w:r>
      <w:r w:rsidRPr="000805DB">
        <w:rPr>
          <w:rFonts w:ascii="Times New Roman" w:eastAsia="Times New Roman" w:hAnsi="Times New Roman" w:cs="Times New Roman"/>
          <w:color w:val="000000"/>
        </w:rPr>
        <w:t>Scholz, </w:t>
      </w:r>
      <w:r>
        <w:rPr>
          <w:rFonts w:ascii="Times New Roman" w:eastAsia="Times New Roman" w:hAnsi="Times New Roman" w:cs="Times New Roman"/>
          <w:color w:val="000000"/>
        </w:rPr>
        <w:t xml:space="preserve">S and </w:t>
      </w:r>
      <w:r w:rsidRPr="000805DB">
        <w:rPr>
          <w:rFonts w:ascii="Times New Roman" w:eastAsia="Times New Roman" w:hAnsi="Times New Roman" w:cs="Times New Roman"/>
          <w:color w:val="000000"/>
        </w:rPr>
        <w:t>Mazza</w:t>
      </w:r>
      <w:r>
        <w:rPr>
          <w:rFonts w:ascii="Times New Roman" w:eastAsia="Times New Roman" w:hAnsi="Times New Roman" w:cs="Times New Roman"/>
          <w:color w:val="000000"/>
        </w:rPr>
        <w:t>, S.</w:t>
      </w:r>
      <w:r w:rsidRPr="000805DB">
        <w:rPr>
          <w:rFonts w:ascii="Times New Roman" w:eastAsia="Times New Roman" w:hAnsi="Times New Roman" w:cs="Times New Roman"/>
          <w:color w:val="000000"/>
        </w:rPr>
        <w:t> </w:t>
      </w:r>
      <w:r>
        <w:rPr>
          <w:rFonts w:ascii="Times New Roman" w:eastAsia="Times New Roman" w:hAnsi="Times New Roman" w:cs="Times New Roman"/>
          <w:color w:val="000000"/>
        </w:rPr>
        <w:t>(2009) ‘</w:t>
      </w:r>
      <w:r w:rsidRPr="000805DB">
        <w:rPr>
          <w:rFonts w:ascii="Times New Roman" w:eastAsia="Times New Roman" w:hAnsi="Times New Roman" w:cs="Times New Roman"/>
          <w:color w:val="000000"/>
        </w:rPr>
        <w:t>Measuring rates of return for lobbying expenditures: an empirical case study of tax breaks for multinational corporations</w:t>
      </w:r>
      <w:r>
        <w:rPr>
          <w:rFonts w:ascii="Times New Roman" w:eastAsia="Times New Roman" w:hAnsi="Times New Roman" w:cs="Times New Roman"/>
          <w:color w:val="000000"/>
        </w:rPr>
        <w:t>’</w:t>
      </w:r>
    </w:p>
    <w:p w14:paraId="13A07CD0" w14:textId="77777777" w:rsidR="00E27697" w:rsidRPr="000805DB" w:rsidRDefault="00E27697" w:rsidP="00E27697">
      <w:pPr>
        <w:rPr>
          <w:rFonts w:ascii="Times New Roman" w:eastAsia="Times New Roman" w:hAnsi="Times New Roman" w:cs="Times New Roman"/>
          <w:color w:val="000000"/>
        </w:rPr>
      </w:pPr>
      <w:r w:rsidRPr="000805DB">
        <w:rPr>
          <w:rFonts w:ascii="Times New Roman" w:eastAsia="Times New Roman" w:hAnsi="Times New Roman" w:cs="Times New Roman"/>
          <w:i/>
          <w:color w:val="000000"/>
        </w:rPr>
        <w:t>J</w:t>
      </w:r>
      <w:r w:rsidRPr="00980CCE">
        <w:rPr>
          <w:rFonts w:ascii="Times New Roman" w:eastAsia="Times New Roman" w:hAnsi="Times New Roman" w:cs="Times New Roman"/>
          <w:i/>
          <w:color w:val="000000"/>
        </w:rPr>
        <w:t xml:space="preserve">ournal of </w:t>
      </w:r>
      <w:r w:rsidRPr="000805DB">
        <w:rPr>
          <w:rFonts w:ascii="Times New Roman" w:eastAsia="Times New Roman" w:hAnsi="Times New Roman" w:cs="Times New Roman"/>
          <w:i/>
          <w:color w:val="000000"/>
        </w:rPr>
        <w:t>Law Polit</w:t>
      </w:r>
      <w:r w:rsidRPr="00980CCE">
        <w:rPr>
          <w:rFonts w:ascii="Times New Roman" w:eastAsia="Times New Roman" w:hAnsi="Times New Roman" w:cs="Times New Roman"/>
          <w:i/>
          <w:color w:val="000000"/>
        </w:rPr>
        <w:t>ics</w:t>
      </w:r>
      <w:r w:rsidRPr="000805DB">
        <w:rPr>
          <w:rFonts w:ascii="Times New Roman" w:eastAsia="Times New Roman" w:hAnsi="Times New Roman" w:cs="Times New Roman"/>
          <w:color w:val="000000"/>
        </w:rPr>
        <w:t>, 25</w:t>
      </w:r>
      <w:r>
        <w:rPr>
          <w:rFonts w:ascii="Times New Roman" w:eastAsia="Times New Roman" w:hAnsi="Times New Roman" w:cs="Times New Roman"/>
          <w:color w:val="000000"/>
        </w:rPr>
        <w:t>,</w:t>
      </w:r>
      <w:r w:rsidRPr="000805DB">
        <w:rPr>
          <w:rFonts w:ascii="Times New Roman" w:eastAsia="Times New Roman" w:hAnsi="Times New Roman" w:cs="Times New Roman"/>
          <w:color w:val="000000"/>
        </w:rPr>
        <w:t> pp. 401-457</w:t>
      </w:r>
      <w:r>
        <w:rPr>
          <w:rFonts w:ascii="Times New Roman" w:eastAsia="Times New Roman" w:hAnsi="Times New Roman" w:cs="Times New Roman"/>
          <w:color w:val="000000"/>
        </w:rPr>
        <w:t>.</w:t>
      </w:r>
    </w:p>
    <w:p w14:paraId="0EE0E100" w14:textId="77777777" w:rsidR="00E27697" w:rsidRPr="00A36982" w:rsidRDefault="00E27697" w:rsidP="00E27697">
      <w:pPr>
        <w:rPr>
          <w:rFonts w:ascii="Times New Roman" w:hAnsi="Times New Roman" w:cs="Times New Roman"/>
        </w:rPr>
      </w:pPr>
    </w:p>
    <w:p w14:paraId="642481A2" w14:textId="77777777" w:rsidR="00E27697" w:rsidRPr="00A36982" w:rsidRDefault="00E27697" w:rsidP="00E27697">
      <w:pPr>
        <w:shd w:val="clear" w:color="auto" w:fill="FFFFFF"/>
        <w:rPr>
          <w:rFonts w:ascii="Times New Roman" w:eastAsia="Times New Roman" w:hAnsi="Times New Roman" w:cs="Times New Roman"/>
          <w:color w:val="000000"/>
        </w:rPr>
      </w:pPr>
      <w:r>
        <w:rPr>
          <w:rFonts w:ascii="Times New Roman" w:eastAsia="Times New Roman" w:hAnsi="Times New Roman" w:cs="Times New Roman"/>
          <w:color w:val="000000"/>
        </w:rPr>
        <w:t xml:space="preserve">Alvarez-Garrido, E and </w:t>
      </w:r>
      <w:r w:rsidRPr="00A36982">
        <w:rPr>
          <w:rFonts w:ascii="Times New Roman" w:eastAsia="Times New Roman" w:hAnsi="Times New Roman" w:cs="Times New Roman"/>
          <w:color w:val="000000"/>
        </w:rPr>
        <w:t>Dushnitsky</w:t>
      </w:r>
      <w:r>
        <w:rPr>
          <w:rFonts w:ascii="Times New Roman" w:eastAsia="Times New Roman" w:hAnsi="Times New Roman" w:cs="Times New Roman"/>
          <w:color w:val="000000"/>
        </w:rPr>
        <w:t xml:space="preserve">, G. </w:t>
      </w:r>
      <w:r w:rsidRPr="00A36982">
        <w:rPr>
          <w:rFonts w:ascii="Times New Roman" w:eastAsia="Times New Roman" w:hAnsi="Times New Roman" w:cs="Times New Roman"/>
          <w:color w:val="000000"/>
        </w:rPr>
        <w:t xml:space="preserve">(2016) </w:t>
      </w:r>
      <w:r>
        <w:rPr>
          <w:rFonts w:ascii="Times New Roman" w:eastAsia="Times New Roman" w:hAnsi="Times New Roman" w:cs="Times New Roman"/>
          <w:color w:val="000000"/>
        </w:rPr>
        <w:t>‘</w:t>
      </w:r>
      <w:r w:rsidRPr="00A36982">
        <w:rPr>
          <w:rFonts w:ascii="Times New Roman" w:eastAsia="Times New Roman" w:hAnsi="Times New Roman" w:cs="Times New Roman"/>
          <w:color w:val="000000"/>
        </w:rPr>
        <w:t>Are entrepreneurial venture’s innovation rates sensitive to investor complementary assets? Comparing biotech ventures backed by corporate and independent VCs</w:t>
      </w:r>
      <w:r>
        <w:rPr>
          <w:rFonts w:ascii="Times New Roman" w:eastAsia="Times New Roman" w:hAnsi="Times New Roman" w:cs="Times New Roman"/>
          <w:color w:val="000000"/>
        </w:rPr>
        <w:t>’,</w:t>
      </w:r>
      <w:r w:rsidRPr="00A36982">
        <w:rPr>
          <w:rFonts w:ascii="Times New Roman" w:eastAsia="Times New Roman" w:hAnsi="Times New Roman" w:cs="Times New Roman"/>
          <w:color w:val="000000"/>
        </w:rPr>
        <w:t xml:space="preserve"> </w:t>
      </w:r>
      <w:r w:rsidRPr="00980CCE">
        <w:rPr>
          <w:rFonts w:ascii="Times New Roman" w:eastAsia="Times New Roman" w:hAnsi="Times New Roman" w:cs="Times New Roman"/>
          <w:i/>
          <w:color w:val="000000"/>
        </w:rPr>
        <w:t>Strategic Management Journal</w:t>
      </w:r>
      <w:r>
        <w:rPr>
          <w:rFonts w:ascii="Times New Roman" w:eastAsia="Times New Roman" w:hAnsi="Times New Roman" w:cs="Times New Roman"/>
          <w:color w:val="000000"/>
        </w:rPr>
        <w:t>,</w:t>
      </w:r>
      <w:r w:rsidRPr="00A36982">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37(5), </w:t>
      </w:r>
      <w:r w:rsidRPr="00A36982">
        <w:rPr>
          <w:rFonts w:ascii="Times New Roman" w:eastAsia="Times New Roman" w:hAnsi="Times New Roman" w:cs="Times New Roman"/>
          <w:color w:val="000000"/>
        </w:rPr>
        <w:t>819–834.</w:t>
      </w:r>
    </w:p>
    <w:p w14:paraId="678E0C60" w14:textId="77777777" w:rsidR="00E27697" w:rsidRPr="00A36982" w:rsidRDefault="00E27697" w:rsidP="00E27697">
      <w:pPr>
        <w:shd w:val="clear" w:color="auto" w:fill="FFFFFF"/>
        <w:rPr>
          <w:rFonts w:ascii="Times New Roman" w:eastAsia="Times New Roman" w:hAnsi="Times New Roman" w:cs="Times New Roman"/>
          <w:color w:val="000000"/>
        </w:rPr>
      </w:pPr>
    </w:p>
    <w:p w14:paraId="4F7DA7A0" w14:textId="77777777" w:rsidR="00E27697" w:rsidRPr="00A36982" w:rsidRDefault="00E27697" w:rsidP="00E27697">
      <w:pPr>
        <w:shd w:val="clear" w:color="auto" w:fill="FFFFFF"/>
        <w:spacing w:line="0" w:lineRule="auto"/>
        <w:rPr>
          <w:rFonts w:ascii="Times New Roman" w:eastAsia="Times New Roman" w:hAnsi="Times New Roman" w:cs="Times New Roman"/>
          <w:color w:val="000000"/>
          <w:spacing w:val="-7"/>
        </w:rPr>
      </w:pPr>
      <w:r w:rsidRPr="00A36982">
        <w:rPr>
          <w:rFonts w:ascii="Times New Roman" w:eastAsia="Times New Roman" w:hAnsi="Times New Roman" w:cs="Times New Roman"/>
          <w:color w:val="000000"/>
          <w:spacing w:val="-7"/>
        </w:rPr>
        <w:t xml:space="preserve">Amit R., J. Brander and C. Zott, “Why Do Venture Capital Firms Exist? Theory and Canadian Evidence”, </w:t>
      </w:r>
    </w:p>
    <w:p w14:paraId="22947C6B" w14:textId="77777777" w:rsidR="00E27697" w:rsidRPr="00A36982" w:rsidRDefault="00E27697" w:rsidP="00E27697">
      <w:pPr>
        <w:shd w:val="clear" w:color="auto" w:fill="FFFFFF"/>
        <w:spacing w:line="0" w:lineRule="auto"/>
        <w:rPr>
          <w:rFonts w:ascii="Times New Roman" w:eastAsia="Times New Roman" w:hAnsi="Times New Roman" w:cs="Times New Roman"/>
          <w:color w:val="000000"/>
          <w:spacing w:val="-7"/>
        </w:rPr>
      </w:pPr>
      <w:r w:rsidRPr="00A36982">
        <w:rPr>
          <w:rFonts w:ascii="Times New Roman" w:eastAsia="Times New Roman" w:hAnsi="Times New Roman" w:cs="Times New Roman"/>
          <w:color w:val="000000"/>
          <w:spacing w:val="-7"/>
        </w:rPr>
        <w:t>Journal of Business Venturing</w:t>
      </w:r>
      <w:r w:rsidRPr="00A36982">
        <w:rPr>
          <w:rFonts w:ascii="Times New Roman" w:eastAsia="Times New Roman" w:hAnsi="Times New Roman" w:cs="Times New Roman"/>
          <w:color w:val="000000"/>
          <w:spacing w:val="-6"/>
        </w:rPr>
        <w:t xml:space="preserve"> 13 (1998), 441-466</w:t>
      </w:r>
    </w:p>
    <w:p w14:paraId="3575DFCD" w14:textId="77777777" w:rsidR="00E27697" w:rsidRPr="00A36982" w:rsidRDefault="00E27697" w:rsidP="00E27697">
      <w:pPr>
        <w:rPr>
          <w:rFonts w:ascii="Times New Roman" w:eastAsia="Times New Roman" w:hAnsi="Times New Roman" w:cs="Times New Roman"/>
        </w:rPr>
      </w:pPr>
      <w:r>
        <w:rPr>
          <w:rFonts w:ascii="Times New Roman" w:eastAsia="Times New Roman" w:hAnsi="Times New Roman" w:cs="Times New Roman"/>
        </w:rPr>
        <w:t xml:space="preserve">Amit, R, </w:t>
      </w:r>
      <w:r w:rsidRPr="00A36982">
        <w:rPr>
          <w:rFonts w:ascii="Times New Roman" w:eastAsia="Times New Roman" w:hAnsi="Times New Roman" w:cs="Times New Roman"/>
        </w:rPr>
        <w:t xml:space="preserve">Brander, </w:t>
      </w:r>
      <w:r>
        <w:rPr>
          <w:rFonts w:ascii="Times New Roman" w:eastAsia="Times New Roman" w:hAnsi="Times New Roman" w:cs="Times New Roman"/>
        </w:rPr>
        <w:t xml:space="preserve">J </w:t>
      </w:r>
      <w:r w:rsidRPr="00A36982">
        <w:rPr>
          <w:rFonts w:ascii="Times New Roman" w:eastAsia="Times New Roman" w:hAnsi="Times New Roman" w:cs="Times New Roman"/>
        </w:rPr>
        <w:t>and Zott</w:t>
      </w:r>
      <w:r>
        <w:rPr>
          <w:rFonts w:ascii="Times New Roman" w:eastAsia="Times New Roman" w:hAnsi="Times New Roman" w:cs="Times New Roman"/>
        </w:rPr>
        <w:t>, C.</w:t>
      </w:r>
      <w:r w:rsidRPr="00A36982">
        <w:rPr>
          <w:rFonts w:ascii="Times New Roman" w:eastAsia="Times New Roman" w:hAnsi="Times New Roman" w:cs="Times New Roman"/>
        </w:rPr>
        <w:t xml:space="preserve"> </w:t>
      </w:r>
      <w:r>
        <w:rPr>
          <w:rFonts w:ascii="Times New Roman" w:eastAsia="Times New Roman" w:hAnsi="Times New Roman" w:cs="Times New Roman"/>
        </w:rPr>
        <w:t>(</w:t>
      </w:r>
      <w:r w:rsidRPr="00A36982">
        <w:rPr>
          <w:rFonts w:ascii="Times New Roman" w:eastAsia="Times New Roman" w:hAnsi="Times New Roman" w:cs="Times New Roman"/>
        </w:rPr>
        <w:t>1998</w:t>
      </w:r>
      <w:r>
        <w:rPr>
          <w:rFonts w:ascii="Times New Roman" w:eastAsia="Times New Roman" w:hAnsi="Times New Roman" w:cs="Times New Roman"/>
        </w:rPr>
        <w:t>) ‘</w:t>
      </w:r>
      <w:r w:rsidRPr="00A36982">
        <w:rPr>
          <w:rFonts w:ascii="Times New Roman" w:eastAsia="Times New Roman" w:hAnsi="Times New Roman" w:cs="Times New Roman"/>
        </w:rPr>
        <w:t>Why do venture capital firms exist</w:t>
      </w:r>
      <w:r>
        <w:rPr>
          <w:rFonts w:ascii="Times New Roman" w:eastAsia="Times New Roman" w:hAnsi="Times New Roman" w:cs="Times New Roman"/>
        </w:rPr>
        <w:t>? Theory and Canadian evidence’,</w:t>
      </w:r>
      <w:r w:rsidRPr="00A36982">
        <w:rPr>
          <w:rFonts w:ascii="Times New Roman" w:eastAsia="Times New Roman" w:hAnsi="Times New Roman" w:cs="Times New Roman"/>
        </w:rPr>
        <w:t xml:space="preserve"> </w:t>
      </w:r>
      <w:r w:rsidRPr="00980CCE">
        <w:rPr>
          <w:rFonts w:ascii="Times New Roman" w:eastAsia="Times New Roman" w:hAnsi="Times New Roman" w:cs="Times New Roman"/>
          <w:i/>
        </w:rPr>
        <w:t>Journal of Business Venturing</w:t>
      </w:r>
      <w:r>
        <w:rPr>
          <w:rFonts w:ascii="Times New Roman" w:eastAsia="Times New Roman" w:hAnsi="Times New Roman" w:cs="Times New Roman"/>
        </w:rPr>
        <w:t>, 13,</w:t>
      </w:r>
      <w:r w:rsidRPr="00A36982">
        <w:rPr>
          <w:rFonts w:ascii="Times New Roman" w:eastAsia="Times New Roman" w:hAnsi="Times New Roman" w:cs="Times New Roman"/>
        </w:rPr>
        <w:t xml:space="preserve"> 441–466.</w:t>
      </w:r>
    </w:p>
    <w:p w14:paraId="06178787" w14:textId="77777777" w:rsidR="00E27697" w:rsidRPr="00A36982" w:rsidRDefault="00E27697" w:rsidP="00E27697">
      <w:pPr>
        <w:shd w:val="clear" w:color="auto" w:fill="FFFFFF"/>
        <w:rPr>
          <w:rFonts w:ascii="Times New Roman" w:eastAsia="Times New Roman" w:hAnsi="Times New Roman" w:cs="Times New Roman"/>
          <w:color w:val="000000"/>
        </w:rPr>
      </w:pPr>
    </w:p>
    <w:p w14:paraId="4FB70788" w14:textId="77777777" w:rsidR="00E27697" w:rsidRPr="00A36982" w:rsidRDefault="00E27697" w:rsidP="00E27697">
      <w:pPr>
        <w:rPr>
          <w:rFonts w:ascii="Times New Roman" w:eastAsia="Times New Roman" w:hAnsi="Times New Roman" w:cs="Times New Roman"/>
        </w:rPr>
      </w:pPr>
      <w:r>
        <w:rPr>
          <w:rFonts w:ascii="Times New Roman" w:eastAsia="Times New Roman" w:hAnsi="Times New Roman" w:cs="Times New Roman"/>
        </w:rPr>
        <w:t>Baron, D</w:t>
      </w:r>
      <w:r w:rsidRPr="00A36982">
        <w:rPr>
          <w:rFonts w:ascii="Times New Roman" w:eastAsia="Times New Roman" w:hAnsi="Times New Roman" w:cs="Times New Roman"/>
        </w:rPr>
        <w:t xml:space="preserve">P. (1997). </w:t>
      </w:r>
      <w:r>
        <w:rPr>
          <w:rFonts w:ascii="Times New Roman" w:eastAsia="Times New Roman" w:hAnsi="Times New Roman" w:cs="Times New Roman"/>
        </w:rPr>
        <w:t>‘</w:t>
      </w:r>
      <w:r w:rsidRPr="00A36982">
        <w:rPr>
          <w:rFonts w:ascii="Times New Roman" w:eastAsia="Times New Roman" w:hAnsi="Times New Roman" w:cs="Times New Roman"/>
        </w:rPr>
        <w:t>Integrated strategy in international trade disputes. The Kodak</w:t>
      </w:r>
      <w:r>
        <w:rPr>
          <w:rFonts w:ascii="Times New Roman" w:eastAsia="Times New Roman" w:hAnsi="Times New Roman" w:cs="Times New Roman"/>
        </w:rPr>
        <w:t xml:space="preserve"> </w:t>
      </w:r>
      <w:r w:rsidRPr="00A36982">
        <w:rPr>
          <w:rFonts w:ascii="Times New Roman" w:eastAsia="Times New Roman" w:hAnsi="Times New Roman" w:cs="Times New Roman"/>
        </w:rPr>
        <w:t>Fuji</w:t>
      </w:r>
      <w:r>
        <w:rPr>
          <w:rFonts w:ascii="Times New Roman" w:eastAsia="Times New Roman" w:hAnsi="Times New Roman" w:cs="Times New Roman"/>
        </w:rPr>
        <w:t xml:space="preserve"> </w:t>
      </w:r>
      <w:r w:rsidRPr="00A36982">
        <w:rPr>
          <w:rFonts w:ascii="Times New Roman" w:eastAsia="Times New Roman" w:hAnsi="Times New Roman" w:cs="Times New Roman"/>
        </w:rPr>
        <w:t>film case</w:t>
      </w:r>
      <w:r>
        <w:rPr>
          <w:rFonts w:ascii="Times New Roman" w:eastAsia="Times New Roman" w:hAnsi="Times New Roman" w:cs="Times New Roman"/>
        </w:rPr>
        <w:t>’,</w:t>
      </w:r>
      <w:r w:rsidRPr="00A36982">
        <w:rPr>
          <w:rFonts w:ascii="Times New Roman" w:eastAsia="Times New Roman" w:hAnsi="Times New Roman" w:cs="Times New Roman"/>
        </w:rPr>
        <w:t xml:space="preserve"> </w:t>
      </w:r>
      <w:r w:rsidRPr="00A94B7F">
        <w:rPr>
          <w:rFonts w:ascii="Times New Roman" w:eastAsia="Times New Roman" w:hAnsi="Times New Roman" w:cs="Times New Roman"/>
          <w:i/>
        </w:rPr>
        <w:t>Journal of Economics and Management Strategy</w:t>
      </w:r>
      <w:r w:rsidRPr="00A36982">
        <w:rPr>
          <w:rFonts w:ascii="Times New Roman" w:eastAsia="Times New Roman" w:hAnsi="Times New Roman" w:cs="Times New Roman"/>
        </w:rPr>
        <w:t>, 6, 291-346.</w:t>
      </w:r>
    </w:p>
    <w:p w14:paraId="3BA8BCCE" w14:textId="77777777" w:rsidR="00E27697" w:rsidRPr="00A36982" w:rsidRDefault="00E27697" w:rsidP="00E27697">
      <w:pPr>
        <w:shd w:val="clear" w:color="auto" w:fill="FFFFFF"/>
        <w:rPr>
          <w:rFonts w:ascii="Times New Roman" w:eastAsia="Times New Roman" w:hAnsi="Times New Roman" w:cs="Times New Roman"/>
          <w:color w:val="000000"/>
        </w:rPr>
      </w:pPr>
    </w:p>
    <w:p w14:paraId="536000DA" w14:textId="77777777" w:rsidR="00E27697" w:rsidRPr="00A36982" w:rsidRDefault="00E27697" w:rsidP="00E27697">
      <w:pPr>
        <w:rPr>
          <w:rFonts w:ascii="Times New Roman" w:eastAsia="Times New Roman" w:hAnsi="Times New Roman" w:cs="Times New Roman"/>
        </w:rPr>
      </w:pPr>
      <w:r>
        <w:rPr>
          <w:rFonts w:ascii="Times New Roman" w:eastAsia="Times New Roman" w:hAnsi="Times New Roman" w:cs="Times New Roman"/>
        </w:rPr>
        <w:t xml:space="preserve">Bradley, D, </w:t>
      </w:r>
      <w:r w:rsidRPr="00A36982">
        <w:rPr>
          <w:rFonts w:ascii="Times New Roman" w:eastAsia="Times New Roman" w:hAnsi="Times New Roman" w:cs="Times New Roman"/>
        </w:rPr>
        <w:t xml:space="preserve">Cooney, </w:t>
      </w:r>
      <w:r>
        <w:rPr>
          <w:rFonts w:ascii="Times New Roman" w:eastAsia="Times New Roman" w:hAnsi="Times New Roman" w:cs="Times New Roman"/>
        </w:rPr>
        <w:t xml:space="preserve">J, </w:t>
      </w:r>
      <w:r w:rsidRPr="00A36982">
        <w:rPr>
          <w:rFonts w:ascii="Times New Roman" w:eastAsia="Times New Roman" w:hAnsi="Times New Roman" w:cs="Times New Roman"/>
        </w:rPr>
        <w:t xml:space="preserve">Dolvin, </w:t>
      </w:r>
      <w:r>
        <w:rPr>
          <w:rFonts w:ascii="Times New Roman" w:eastAsia="Times New Roman" w:hAnsi="Times New Roman" w:cs="Times New Roman"/>
        </w:rPr>
        <w:t xml:space="preserve">S </w:t>
      </w:r>
      <w:r w:rsidRPr="00A36982">
        <w:rPr>
          <w:rFonts w:ascii="Times New Roman" w:eastAsia="Times New Roman" w:hAnsi="Times New Roman" w:cs="Times New Roman"/>
        </w:rPr>
        <w:t>and Jordan</w:t>
      </w:r>
      <w:r>
        <w:rPr>
          <w:rFonts w:ascii="Times New Roman" w:eastAsia="Times New Roman" w:hAnsi="Times New Roman" w:cs="Times New Roman"/>
        </w:rPr>
        <w:t>, B</w:t>
      </w:r>
      <w:r w:rsidRPr="00A36982">
        <w:rPr>
          <w:rFonts w:ascii="Times New Roman" w:eastAsia="Times New Roman" w:hAnsi="Times New Roman" w:cs="Times New Roman"/>
        </w:rPr>
        <w:t xml:space="preserve">. </w:t>
      </w:r>
      <w:r>
        <w:rPr>
          <w:rFonts w:ascii="Times New Roman" w:eastAsia="Times New Roman" w:hAnsi="Times New Roman" w:cs="Times New Roman"/>
        </w:rPr>
        <w:t>(</w:t>
      </w:r>
      <w:r w:rsidRPr="00A36982">
        <w:rPr>
          <w:rFonts w:ascii="Times New Roman" w:eastAsia="Times New Roman" w:hAnsi="Times New Roman" w:cs="Times New Roman"/>
        </w:rPr>
        <w:t>2006</w:t>
      </w:r>
      <w:r>
        <w:rPr>
          <w:rFonts w:ascii="Times New Roman" w:eastAsia="Times New Roman" w:hAnsi="Times New Roman" w:cs="Times New Roman"/>
        </w:rPr>
        <w:t xml:space="preserve">). ‘Penny Stock IPOs’, </w:t>
      </w:r>
      <w:r w:rsidRPr="00A94B7F">
        <w:rPr>
          <w:rFonts w:ascii="Times New Roman" w:eastAsia="Times New Roman" w:hAnsi="Times New Roman" w:cs="Times New Roman"/>
          <w:i/>
        </w:rPr>
        <w:t>Financial Management</w:t>
      </w:r>
      <w:r>
        <w:rPr>
          <w:rFonts w:ascii="Times New Roman" w:eastAsia="Times New Roman" w:hAnsi="Times New Roman" w:cs="Times New Roman"/>
        </w:rPr>
        <w:t>, 35,</w:t>
      </w:r>
      <w:r w:rsidRPr="00A36982">
        <w:rPr>
          <w:rFonts w:ascii="Times New Roman" w:eastAsia="Times New Roman" w:hAnsi="Times New Roman" w:cs="Times New Roman"/>
        </w:rPr>
        <w:t xml:space="preserve"> 5-39.</w:t>
      </w:r>
    </w:p>
    <w:p w14:paraId="250D991E" w14:textId="77777777" w:rsidR="00E27697" w:rsidRPr="00A36982" w:rsidRDefault="00E27697" w:rsidP="00E27697">
      <w:pPr>
        <w:rPr>
          <w:rFonts w:ascii="Times New Roman" w:eastAsia="Times New Roman" w:hAnsi="Times New Roman" w:cs="Times New Roman"/>
        </w:rPr>
      </w:pPr>
    </w:p>
    <w:p w14:paraId="15B7D949" w14:textId="77777777" w:rsidR="00E27697" w:rsidRPr="000805DB" w:rsidRDefault="00E27697" w:rsidP="00E27697">
      <w:pPr>
        <w:rPr>
          <w:rFonts w:ascii="Times New Roman" w:eastAsia="Times New Roman" w:hAnsi="Times New Roman" w:cs="Times New Roman"/>
        </w:rPr>
      </w:pPr>
      <w:r>
        <w:rPr>
          <w:rFonts w:ascii="Times New Roman" w:eastAsia="Times New Roman" w:hAnsi="Times New Roman" w:cs="Times New Roman"/>
          <w:color w:val="000000"/>
        </w:rPr>
        <w:t>Carpenter, RE</w:t>
      </w:r>
      <w:r w:rsidRPr="000805DB">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and Petersen, B</w:t>
      </w:r>
      <w:r w:rsidRPr="000805DB">
        <w:rPr>
          <w:rFonts w:ascii="Times New Roman" w:eastAsia="Times New Roman" w:hAnsi="Times New Roman" w:cs="Times New Roman"/>
          <w:color w:val="000000"/>
        </w:rPr>
        <w:t xml:space="preserve">C. (2002). </w:t>
      </w:r>
      <w:r>
        <w:rPr>
          <w:rFonts w:ascii="Times New Roman" w:eastAsia="Times New Roman" w:hAnsi="Times New Roman" w:cs="Times New Roman"/>
          <w:color w:val="000000"/>
        </w:rPr>
        <w:t>‘</w:t>
      </w:r>
      <w:r w:rsidRPr="000805DB">
        <w:rPr>
          <w:rFonts w:ascii="Times New Roman" w:eastAsia="Times New Roman" w:hAnsi="Times New Roman" w:cs="Times New Roman"/>
          <w:color w:val="000000"/>
        </w:rPr>
        <w:t>Is the growth of small firms constrained by internal finance?</w:t>
      </w:r>
      <w:r>
        <w:rPr>
          <w:rFonts w:ascii="Times New Roman" w:eastAsia="Times New Roman" w:hAnsi="Times New Roman" w:cs="Times New Roman"/>
          <w:color w:val="000000"/>
        </w:rPr>
        <w:t xml:space="preserve">’, </w:t>
      </w:r>
      <w:r>
        <w:rPr>
          <w:rFonts w:ascii="Times New Roman" w:eastAsia="Times New Roman" w:hAnsi="Times New Roman" w:cs="Times New Roman"/>
          <w:i/>
          <w:iCs/>
          <w:color w:val="000000"/>
        </w:rPr>
        <w:t>Review of Economics and S</w:t>
      </w:r>
      <w:r w:rsidRPr="000805DB">
        <w:rPr>
          <w:rFonts w:ascii="Times New Roman" w:eastAsia="Times New Roman" w:hAnsi="Times New Roman" w:cs="Times New Roman"/>
          <w:i/>
          <w:iCs/>
          <w:color w:val="000000"/>
        </w:rPr>
        <w:t>tatistics</w:t>
      </w:r>
      <w:r w:rsidRPr="000805DB">
        <w:rPr>
          <w:rFonts w:ascii="Times New Roman" w:eastAsia="Times New Roman" w:hAnsi="Times New Roman" w:cs="Times New Roman"/>
          <w:color w:val="000000"/>
        </w:rPr>
        <w:t>, </w:t>
      </w:r>
      <w:r w:rsidRPr="000805DB">
        <w:rPr>
          <w:rFonts w:ascii="Times New Roman" w:eastAsia="Times New Roman" w:hAnsi="Times New Roman" w:cs="Times New Roman"/>
          <w:i/>
          <w:iCs/>
          <w:color w:val="000000"/>
        </w:rPr>
        <w:t>84</w:t>
      </w:r>
      <w:r w:rsidRPr="000805DB">
        <w:rPr>
          <w:rFonts w:ascii="Times New Roman" w:eastAsia="Times New Roman" w:hAnsi="Times New Roman" w:cs="Times New Roman"/>
          <w:color w:val="000000"/>
        </w:rPr>
        <w:t>(2), 298-309.</w:t>
      </w:r>
    </w:p>
    <w:p w14:paraId="491780A3" w14:textId="77777777" w:rsidR="00E27697" w:rsidRPr="00A36982" w:rsidRDefault="00E27697" w:rsidP="00E27697">
      <w:pPr>
        <w:shd w:val="clear" w:color="auto" w:fill="FFFFFF"/>
        <w:rPr>
          <w:rFonts w:ascii="Times New Roman" w:eastAsia="Times New Roman" w:hAnsi="Times New Roman" w:cs="Times New Roman"/>
          <w:color w:val="000000"/>
        </w:rPr>
      </w:pPr>
    </w:p>
    <w:p w14:paraId="25AED31F" w14:textId="77777777" w:rsidR="00E27697" w:rsidRPr="000805DB" w:rsidRDefault="00E27697" w:rsidP="00E27697">
      <w:pPr>
        <w:rPr>
          <w:rFonts w:ascii="Times New Roman" w:eastAsia="Times New Roman" w:hAnsi="Times New Roman" w:cs="Times New Roman"/>
        </w:rPr>
      </w:pPr>
      <w:r>
        <w:rPr>
          <w:rFonts w:ascii="Times New Roman" w:eastAsia="Times New Roman" w:hAnsi="Times New Roman" w:cs="Times New Roman"/>
          <w:color w:val="000000"/>
        </w:rPr>
        <w:t>Chen, H, Parsley, D</w:t>
      </w:r>
      <w:r w:rsidRPr="000805DB">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and Yang, Y</w:t>
      </w:r>
      <w:r w:rsidRPr="000805DB">
        <w:rPr>
          <w:rFonts w:ascii="Times New Roman" w:eastAsia="Times New Roman" w:hAnsi="Times New Roman" w:cs="Times New Roman"/>
          <w:color w:val="000000"/>
        </w:rPr>
        <w:t xml:space="preserve">W. (2015). </w:t>
      </w:r>
      <w:r>
        <w:rPr>
          <w:rFonts w:ascii="Times New Roman" w:eastAsia="Times New Roman" w:hAnsi="Times New Roman" w:cs="Times New Roman"/>
          <w:color w:val="000000"/>
        </w:rPr>
        <w:t>‘</w:t>
      </w:r>
      <w:r w:rsidRPr="000805DB">
        <w:rPr>
          <w:rFonts w:ascii="Times New Roman" w:eastAsia="Times New Roman" w:hAnsi="Times New Roman" w:cs="Times New Roman"/>
          <w:color w:val="000000"/>
        </w:rPr>
        <w:t>Corporate lobbying and firm performance</w:t>
      </w:r>
      <w:r>
        <w:rPr>
          <w:rFonts w:ascii="Times New Roman" w:eastAsia="Times New Roman" w:hAnsi="Times New Roman" w:cs="Times New Roman"/>
          <w:color w:val="000000"/>
        </w:rPr>
        <w:t>’,</w:t>
      </w:r>
      <w:r w:rsidRPr="000805DB">
        <w:rPr>
          <w:rFonts w:ascii="Times New Roman" w:eastAsia="Times New Roman" w:hAnsi="Times New Roman" w:cs="Times New Roman"/>
          <w:color w:val="000000"/>
        </w:rPr>
        <w:t> </w:t>
      </w:r>
      <w:r w:rsidRPr="000805DB">
        <w:rPr>
          <w:rFonts w:ascii="Times New Roman" w:eastAsia="Times New Roman" w:hAnsi="Times New Roman" w:cs="Times New Roman"/>
          <w:i/>
          <w:iCs/>
          <w:color w:val="000000"/>
        </w:rPr>
        <w:t>Journal of Business Finance &amp; Accounting</w:t>
      </w:r>
      <w:r w:rsidRPr="000805DB">
        <w:rPr>
          <w:rFonts w:ascii="Times New Roman" w:eastAsia="Times New Roman" w:hAnsi="Times New Roman" w:cs="Times New Roman"/>
          <w:color w:val="000000"/>
        </w:rPr>
        <w:t>, </w:t>
      </w:r>
      <w:r w:rsidRPr="000805DB">
        <w:rPr>
          <w:rFonts w:ascii="Times New Roman" w:eastAsia="Times New Roman" w:hAnsi="Times New Roman" w:cs="Times New Roman"/>
          <w:i/>
          <w:iCs/>
          <w:color w:val="000000"/>
        </w:rPr>
        <w:t>42</w:t>
      </w:r>
      <w:r w:rsidRPr="000805DB">
        <w:rPr>
          <w:rFonts w:ascii="Times New Roman" w:eastAsia="Times New Roman" w:hAnsi="Times New Roman" w:cs="Times New Roman"/>
          <w:color w:val="000000"/>
        </w:rPr>
        <w:t>(3-4), 444-481.</w:t>
      </w:r>
    </w:p>
    <w:p w14:paraId="3EE600F0" w14:textId="77777777" w:rsidR="00E27697" w:rsidRPr="00A36982" w:rsidRDefault="00E27697" w:rsidP="00E27697">
      <w:pPr>
        <w:shd w:val="clear" w:color="auto" w:fill="FFFFFF"/>
        <w:rPr>
          <w:rFonts w:ascii="Times New Roman" w:eastAsia="Times New Roman" w:hAnsi="Times New Roman" w:cs="Times New Roman"/>
          <w:color w:val="000000"/>
        </w:rPr>
      </w:pPr>
    </w:p>
    <w:p w14:paraId="18BEC544" w14:textId="77777777" w:rsidR="00E27697" w:rsidRPr="00A36982" w:rsidRDefault="00E27697" w:rsidP="00E27697">
      <w:pPr>
        <w:rPr>
          <w:rFonts w:ascii="Times New Roman" w:eastAsia="Times New Roman" w:hAnsi="Times New Roman" w:cs="Times New Roman"/>
        </w:rPr>
      </w:pPr>
      <w:r>
        <w:rPr>
          <w:rFonts w:ascii="Times New Roman" w:eastAsia="Times New Roman" w:hAnsi="Times New Roman" w:cs="Times New Roman"/>
        </w:rPr>
        <w:t>Da Rin, M</w:t>
      </w:r>
      <w:r w:rsidRPr="00A36982">
        <w:rPr>
          <w:rFonts w:ascii="Times New Roman" w:eastAsia="Times New Roman" w:hAnsi="Times New Roman" w:cs="Times New Roman"/>
        </w:rPr>
        <w:t>, Hellmann</w:t>
      </w:r>
      <w:r>
        <w:rPr>
          <w:rFonts w:ascii="Times New Roman" w:eastAsia="Times New Roman" w:hAnsi="Times New Roman" w:cs="Times New Roman"/>
        </w:rPr>
        <w:t>, T</w:t>
      </w:r>
      <w:r w:rsidRPr="00A36982">
        <w:rPr>
          <w:rFonts w:ascii="Times New Roman" w:eastAsia="Times New Roman" w:hAnsi="Times New Roman" w:cs="Times New Roman"/>
        </w:rPr>
        <w:t xml:space="preserve"> and Puri</w:t>
      </w:r>
      <w:r>
        <w:rPr>
          <w:rFonts w:ascii="Times New Roman" w:eastAsia="Times New Roman" w:hAnsi="Times New Roman" w:cs="Times New Roman"/>
        </w:rPr>
        <w:t>, M.</w:t>
      </w:r>
      <w:r w:rsidRPr="00A36982">
        <w:rPr>
          <w:rFonts w:ascii="Times New Roman" w:eastAsia="Times New Roman" w:hAnsi="Times New Roman" w:cs="Times New Roman"/>
        </w:rPr>
        <w:t xml:space="preserve"> (2013). </w:t>
      </w:r>
      <w:r>
        <w:rPr>
          <w:rFonts w:ascii="Times New Roman" w:eastAsia="Times New Roman" w:hAnsi="Times New Roman" w:cs="Times New Roman"/>
        </w:rPr>
        <w:t>‘A survey of venture capital research, i</w:t>
      </w:r>
      <w:r w:rsidRPr="00A36982">
        <w:rPr>
          <w:rFonts w:ascii="Times New Roman" w:eastAsia="Times New Roman" w:hAnsi="Times New Roman" w:cs="Times New Roman"/>
        </w:rPr>
        <w:t xml:space="preserve">n Constantinides, </w:t>
      </w:r>
      <w:r>
        <w:rPr>
          <w:rFonts w:ascii="Times New Roman" w:eastAsia="Times New Roman" w:hAnsi="Times New Roman" w:cs="Times New Roman"/>
        </w:rPr>
        <w:t>G. et al (E</w:t>
      </w:r>
      <w:r w:rsidRPr="00A36982">
        <w:rPr>
          <w:rFonts w:ascii="Times New Roman" w:eastAsia="Times New Roman" w:hAnsi="Times New Roman" w:cs="Times New Roman"/>
        </w:rPr>
        <w:t>ds</w:t>
      </w:r>
      <w:r>
        <w:rPr>
          <w:rFonts w:ascii="Times New Roman" w:eastAsia="Times New Roman" w:hAnsi="Times New Roman" w:cs="Times New Roman"/>
        </w:rPr>
        <w:t xml:space="preserve">.), </w:t>
      </w:r>
      <w:r w:rsidRPr="003039A7">
        <w:rPr>
          <w:rFonts w:ascii="Times New Roman" w:eastAsia="Times New Roman" w:hAnsi="Times New Roman" w:cs="Times New Roman"/>
          <w:i/>
        </w:rPr>
        <w:t>Handbook of the Economics of Finance</w:t>
      </w:r>
      <w:r w:rsidRPr="00A36982">
        <w:rPr>
          <w:rFonts w:ascii="Times New Roman" w:eastAsia="Times New Roman" w:hAnsi="Times New Roman" w:cs="Times New Roman"/>
        </w:rPr>
        <w:t>, vol. 2A.</w:t>
      </w:r>
      <w:r>
        <w:rPr>
          <w:rFonts w:ascii="Times New Roman" w:eastAsia="Times New Roman" w:hAnsi="Times New Roman" w:cs="Times New Roman"/>
        </w:rPr>
        <w:t xml:space="preserve"> Amsterdam, New Holland, pp.574-648. </w:t>
      </w:r>
    </w:p>
    <w:p w14:paraId="69A27F84" w14:textId="77777777" w:rsidR="00E27697" w:rsidRPr="00A36982" w:rsidRDefault="00E27697" w:rsidP="00E27697">
      <w:pPr>
        <w:rPr>
          <w:rFonts w:ascii="Times New Roman" w:eastAsia="Times New Roman" w:hAnsi="Times New Roman" w:cs="Times New Roman"/>
        </w:rPr>
      </w:pPr>
    </w:p>
    <w:p w14:paraId="1A02E58A" w14:textId="77777777" w:rsidR="00E27697" w:rsidRPr="00A36982" w:rsidRDefault="00E27697" w:rsidP="00E27697">
      <w:pPr>
        <w:rPr>
          <w:rFonts w:ascii="Times New Roman" w:eastAsia="Times New Roman" w:hAnsi="Times New Roman" w:cs="Times New Roman"/>
        </w:rPr>
      </w:pPr>
      <w:r>
        <w:rPr>
          <w:rFonts w:ascii="Times New Roman" w:eastAsia="Times New Roman" w:hAnsi="Times New Roman" w:cs="Times New Roman"/>
        </w:rPr>
        <w:t>Davis, GF</w:t>
      </w:r>
      <w:r w:rsidRPr="00A36982">
        <w:rPr>
          <w:rFonts w:ascii="Times New Roman" w:eastAsia="Times New Roman" w:hAnsi="Times New Roman" w:cs="Times New Roman"/>
        </w:rPr>
        <w:t xml:space="preserve"> </w:t>
      </w:r>
      <w:r>
        <w:rPr>
          <w:rFonts w:ascii="Times New Roman" w:eastAsia="Times New Roman" w:hAnsi="Times New Roman" w:cs="Times New Roman"/>
        </w:rPr>
        <w:t>and Cobb, J</w:t>
      </w:r>
      <w:r w:rsidRPr="00A36982">
        <w:rPr>
          <w:rFonts w:ascii="Times New Roman" w:eastAsia="Times New Roman" w:hAnsi="Times New Roman" w:cs="Times New Roman"/>
        </w:rPr>
        <w:t xml:space="preserve">A. (2010). </w:t>
      </w:r>
      <w:r>
        <w:rPr>
          <w:rFonts w:ascii="Times New Roman" w:eastAsia="Times New Roman" w:hAnsi="Times New Roman" w:cs="Times New Roman"/>
        </w:rPr>
        <w:t>‘Resource dependence t</w:t>
      </w:r>
      <w:r w:rsidRPr="00A36982">
        <w:rPr>
          <w:rFonts w:ascii="Times New Roman" w:eastAsia="Times New Roman" w:hAnsi="Times New Roman" w:cs="Times New Roman"/>
        </w:rPr>
        <w:t>heory: Past and future</w:t>
      </w:r>
      <w:r>
        <w:rPr>
          <w:rFonts w:ascii="Times New Roman" w:eastAsia="Times New Roman" w:hAnsi="Times New Roman" w:cs="Times New Roman"/>
        </w:rPr>
        <w:t>’,</w:t>
      </w:r>
      <w:r w:rsidRPr="00A36982">
        <w:rPr>
          <w:rFonts w:ascii="Times New Roman" w:eastAsia="Times New Roman" w:hAnsi="Times New Roman" w:cs="Times New Roman"/>
        </w:rPr>
        <w:t xml:space="preserve"> </w:t>
      </w:r>
      <w:r w:rsidRPr="00FA684D">
        <w:rPr>
          <w:rFonts w:ascii="Times New Roman" w:eastAsia="Times New Roman" w:hAnsi="Times New Roman" w:cs="Times New Roman"/>
          <w:i/>
        </w:rPr>
        <w:t>Research in the Sociology of Organizations</w:t>
      </w:r>
      <w:r w:rsidRPr="00A36982">
        <w:rPr>
          <w:rFonts w:ascii="Times New Roman" w:eastAsia="Times New Roman" w:hAnsi="Times New Roman" w:cs="Times New Roman"/>
        </w:rPr>
        <w:t>, 28(1), 21-42</w:t>
      </w:r>
      <w:r>
        <w:rPr>
          <w:rFonts w:ascii="Times New Roman" w:eastAsia="Times New Roman" w:hAnsi="Times New Roman" w:cs="Times New Roman"/>
        </w:rPr>
        <w:t>.</w:t>
      </w:r>
    </w:p>
    <w:p w14:paraId="7C2C98E6" w14:textId="77777777" w:rsidR="00E27697" w:rsidRPr="00A36982" w:rsidRDefault="00E27697" w:rsidP="00E27697">
      <w:pPr>
        <w:shd w:val="clear" w:color="auto" w:fill="FFFFFF"/>
        <w:rPr>
          <w:rFonts w:ascii="Times New Roman" w:eastAsia="Times New Roman" w:hAnsi="Times New Roman" w:cs="Times New Roman"/>
          <w:color w:val="000000"/>
        </w:rPr>
      </w:pPr>
    </w:p>
    <w:p w14:paraId="55F2B17B" w14:textId="77777777" w:rsidR="00E27697" w:rsidRPr="00A36982" w:rsidRDefault="00E27697" w:rsidP="00E27697">
      <w:pPr>
        <w:rPr>
          <w:rFonts w:ascii="Times New Roman" w:eastAsia="Times New Roman" w:hAnsi="Times New Roman" w:cs="Times New Roman"/>
        </w:rPr>
      </w:pPr>
      <w:r>
        <w:rPr>
          <w:rFonts w:ascii="Times New Roman" w:eastAsia="Times New Roman" w:hAnsi="Times New Roman" w:cs="Times New Roman"/>
        </w:rPr>
        <w:t>De Figueiredo JM and Silverman, B</w:t>
      </w:r>
      <w:r w:rsidRPr="00A36982">
        <w:rPr>
          <w:rFonts w:ascii="Times New Roman" w:eastAsia="Times New Roman" w:hAnsi="Times New Roman" w:cs="Times New Roman"/>
        </w:rPr>
        <w:t xml:space="preserve">S. (2006). </w:t>
      </w:r>
      <w:r>
        <w:rPr>
          <w:rFonts w:ascii="Times New Roman" w:eastAsia="Times New Roman" w:hAnsi="Times New Roman" w:cs="Times New Roman"/>
        </w:rPr>
        <w:t>‘</w:t>
      </w:r>
      <w:r w:rsidRPr="00A36982">
        <w:rPr>
          <w:rFonts w:ascii="Times New Roman" w:eastAsia="Times New Roman" w:hAnsi="Times New Roman" w:cs="Times New Roman"/>
        </w:rPr>
        <w:t xml:space="preserve">Academic earmarks and the returns to lobbying', </w:t>
      </w:r>
      <w:r w:rsidRPr="00FA684D">
        <w:rPr>
          <w:rFonts w:ascii="Times New Roman" w:eastAsia="Times New Roman" w:hAnsi="Times New Roman" w:cs="Times New Roman"/>
          <w:i/>
        </w:rPr>
        <w:t>Journal of Law and Economics</w:t>
      </w:r>
      <w:r w:rsidRPr="00A36982">
        <w:rPr>
          <w:rFonts w:ascii="Times New Roman" w:eastAsia="Times New Roman" w:hAnsi="Times New Roman" w:cs="Times New Roman"/>
        </w:rPr>
        <w:t>, 49, 597 - 626.</w:t>
      </w:r>
    </w:p>
    <w:p w14:paraId="5A8F9453" w14:textId="77777777" w:rsidR="00E27697" w:rsidRPr="00316745" w:rsidRDefault="00E27697" w:rsidP="00E27697">
      <w:pPr>
        <w:rPr>
          <w:rFonts w:ascii="Times New Roman" w:eastAsia="Times New Roman" w:hAnsi="Times New Roman" w:cs="Times New Roman"/>
        </w:rPr>
      </w:pPr>
    </w:p>
    <w:p w14:paraId="07B8FC7C" w14:textId="1617408B" w:rsidR="00316745" w:rsidRPr="00316745" w:rsidRDefault="00316745" w:rsidP="00316745">
      <w:pPr>
        <w:rPr>
          <w:rFonts w:ascii="Times New Roman" w:eastAsia="Times New Roman" w:hAnsi="Times New Roman" w:cs="Times New Roman"/>
        </w:rPr>
      </w:pPr>
      <w:r>
        <w:rPr>
          <w:rFonts w:ascii="Times New Roman" w:eastAsia="Times New Roman" w:hAnsi="Times New Roman" w:cs="Times New Roman"/>
        </w:rPr>
        <w:t>Drope, JM., &amp; Hansen, W</w:t>
      </w:r>
      <w:r w:rsidRPr="00316745">
        <w:rPr>
          <w:rFonts w:ascii="Times New Roman" w:eastAsia="Times New Roman" w:hAnsi="Times New Roman" w:cs="Times New Roman"/>
        </w:rPr>
        <w:t xml:space="preserve">L. (2006). </w:t>
      </w:r>
      <w:r>
        <w:rPr>
          <w:rFonts w:ascii="Times New Roman" w:eastAsia="Times New Roman" w:hAnsi="Times New Roman" w:cs="Times New Roman"/>
        </w:rPr>
        <w:t>‘</w:t>
      </w:r>
      <w:r w:rsidRPr="00316745">
        <w:rPr>
          <w:rFonts w:ascii="Times New Roman" w:eastAsia="Times New Roman" w:hAnsi="Times New Roman" w:cs="Times New Roman"/>
        </w:rPr>
        <w:t>Does firm size matter? Analyzing business lobbying in the United States</w:t>
      </w:r>
      <w:r>
        <w:rPr>
          <w:rFonts w:ascii="Times New Roman" w:eastAsia="Times New Roman" w:hAnsi="Times New Roman" w:cs="Times New Roman"/>
        </w:rPr>
        <w:t>’</w:t>
      </w:r>
      <w:r w:rsidRPr="00316745">
        <w:rPr>
          <w:rFonts w:ascii="Times New Roman" w:eastAsia="Times New Roman" w:hAnsi="Times New Roman" w:cs="Times New Roman"/>
        </w:rPr>
        <w:t>. </w:t>
      </w:r>
      <w:r w:rsidRPr="00316745">
        <w:rPr>
          <w:rFonts w:ascii="Times New Roman" w:eastAsia="Times New Roman" w:hAnsi="Times New Roman" w:cs="Times New Roman"/>
          <w:i/>
        </w:rPr>
        <w:t>Business and Politics</w:t>
      </w:r>
      <w:r w:rsidRPr="00316745">
        <w:rPr>
          <w:rFonts w:ascii="Times New Roman" w:eastAsia="Times New Roman" w:hAnsi="Times New Roman" w:cs="Times New Roman"/>
        </w:rPr>
        <w:t>, 8(2), 1-17.</w:t>
      </w:r>
    </w:p>
    <w:p w14:paraId="5EBAC469" w14:textId="77777777" w:rsidR="00316745" w:rsidRDefault="00316745" w:rsidP="00E27697">
      <w:pPr>
        <w:rPr>
          <w:rFonts w:ascii="Times New Roman" w:eastAsia="Times New Roman" w:hAnsi="Times New Roman" w:cs="Times New Roman"/>
        </w:rPr>
      </w:pPr>
    </w:p>
    <w:p w14:paraId="513A096C" w14:textId="77777777" w:rsidR="00E27697" w:rsidRPr="00A36982" w:rsidRDefault="00E27697" w:rsidP="00E27697">
      <w:pPr>
        <w:rPr>
          <w:rFonts w:ascii="Times New Roman" w:eastAsia="Times New Roman" w:hAnsi="Times New Roman" w:cs="Times New Roman"/>
        </w:rPr>
      </w:pPr>
      <w:r>
        <w:rPr>
          <w:rFonts w:ascii="Times New Roman" w:eastAsia="Times New Roman" w:hAnsi="Times New Roman" w:cs="Times New Roman"/>
        </w:rPr>
        <w:lastRenderedPageBreak/>
        <w:t xml:space="preserve">Dutta, S and </w:t>
      </w:r>
      <w:r w:rsidRPr="00A36982">
        <w:rPr>
          <w:rFonts w:ascii="Times New Roman" w:eastAsia="Times New Roman" w:hAnsi="Times New Roman" w:cs="Times New Roman"/>
        </w:rPr>
        <w:t>Folta</w:t>
      </w:r>
      <w:r>
        <w:rPr>
          <w:rFonts w:ascii="Times New Roman" w:eastAsia="Times New Roman" w:hAnsi="Times New Roman" w:cs="Times New Roman"/>
        </w:rPr>
        <w:t>, TB. (2016). ‘</w:t>
      </w:r>
      <w:r w:rsidRPr="00A36982">
        <w:rPr>
          <w:rFonts w:ascii="Times New Roman" w:eastAsia="Times New Roman" w:hAnsi="Times New Roman" w:cs="Times New Roman"/>
        </w:rPr>
        <w:t>A comparison of the effect of angels and venture capitalists o</w:t>
      </w:r>
      <w:r>
        <w:rPr>
          <w:rFonts w:ascii="Times New Roman" w:eastAsia="Times New Roman" w:hAnsi="Times New Roman" w:cs="Times New Roman"/>
        </w:rPr>
        <w:t>n innovation and value creation’</w:t>
      </w:r>
      <w:r w:rsidRPr="00A36982">
        <w:rPr>
          <w:rFonts w:ascii="Times New Roman" w:eastAsia="Times New Roman" w:hAnsi="Times New Roman" w:cs="Times New Roman"/>
        </w:rPr>
        <w:t xml:space="preserve">, </w:t>
      </w:r>
      <w:r w:rsidRPr="00FA684D">
        <w:rPr>
          <w:rFonts w:ascii="Times New Roman" w:eastAsia="Times New Roman" w:hAnsi="Times New Roman" w:cs="Times New Roman"/>
          <w:i/>
        </w:rPr>
        <w:t>Journal of Business Venturing</w:t>
      </w:r>
      <w:r>
        <w:rPr>
          <w:rFonts w:ascii="Times New Roman" w:eastAsia="Times New Roman" w:hAnsi="Times New Roman" w:cs="Times New Roman"/>
        </w:rPr>
        <w:t xml:space="preserve">, 31(1), </w:t>
      </w:r>
      <w:r w:rsidRPr="00A36982">
        <w:rPr>
          <w:rFonts w:ascii="Times New Roman" w:eastAsia="Times New Roman" w:hAnsi="Times New Roman" w:cs="Times New Roman"/>
        </w:rPr>
        <w:t xml:space="preserve">39–54. </w:t>
      </w:r>
    </w:p>
    <w:p w14:paraId="3A8842D6" w14:textId="77777777" w:rsidR="00E27697" w:rsidRPr="00A36982" w:rsidRDefault="00E27697" w:rsidP="00E27697">
      <w:pPr>
        <w:rPr>
          <w:rFonts w:ascii="Times New Roman" w:eastAsia="Times New Roman" w:hAnsi="Times New Roman" w:cs="Times New Roman"/>
        </w:rPr>
      </w:pPr>
    </w:p>
    <w:p w14:paraId="1878D3FA" w14:textId="77777777" w:rsidR="00E27697" w:rsidRPr="00A36982" w:rsidRDefault="00E27697" w:rsidP="00E27697">
      <w:pPr>
        <w:rPr>
          <w:rFonts w:ascii="Times New Roman" w:eastAsia="Times New Roman" w:hAnsi="Times New Roman" w:cs="Times New Roman"/>
        </w:rPr>
      </w:pPr>
      <w:r>
        <w:rPr>
          <w:rFonts w:ascii="Times New Roman" w:eastAsia="Times New Roman" w:hAnsi="Times New Roman" w:cs="Times New Roman"/>
        </w:rPr>
        <w:t>Faccio, M</w:t>
      </w:r>
      <w:r w:rsidRPr="00A36982">
        <w:rPr>
          <w:rFonts w:ascii="Times New Roman" w:eastAsia="Times New Roman" w:hAnsi="Times New Roman" w:cs="Times New Roman"/>
        </w:rPr>
        <w:t xml:space="preserve">, Masulis, </w:t>
      </w:r>
      <w:r>
        <w:rPr>
          <w:rFonts w:ascii="Times New Roman" w:eastAsia="Times New Roman" w:hAnsi="Times New Roman" w:cs="Times New Roman"/>
        </w:rPr>
        <w:t>RW</w:t>
      </w:r>
      <w:r w:rsidRPr="00A36982">
        <w:rPr>
          <w:rFonts w:ascii="Times New Roman" w:eastAsia="Times New Roman" w:hAnsi="Times New Roman" w:cs="Times New Roman"/>
        </w:rPr>
        <w:t xml:space="preserve"> and McConnell, </w:t>
      </w:r>
      <w:r>
        <w:rPr>
          <w:rFonts w:ascii="Times New Roman" w:eastAsia="Times New Roman" w:hAnsi="Times New Roman" w:cs="Times New Roman"/>
        </w:rPr>
        <w:t>J</w:t>
      </w:r>
      <w:r w:rsidRPr="00A36982">
        <w:rPr>
          <w:rFonts w:ascii="Times New Roman" w:eastAsia="Times New Roman" w:hAnsi="Times New Roman" w:cs="Times New Roman"/>
        </w:rPr>
        <w:t xml:space="preserve">J. </w:t>
      </w:r>
      <w:r>
        <w:rPr>
          <w:rFonts w:ascii="Times New Roman" w:eastAsia="Times New Roman" w:hAnsi="Times New Roman" w:cs="Times New Roman"/>
        </w:rPr>
        <w:t xml:space="preserve">(2006) ‘Political connections and corporate bailouts’, </w:t>
      </w:r>
      <w:r w:rsidRPr="00795BB5">
        <w:rPr>
          <w:rFonts w:ascii="Times New Roman" w:eastAsia="Times New Roman" w:hAnsi="Times New Roman" w:cs="Times New Roman"/>
          <w:i/>
        </w:rPr>
        <w:t>Journal of Finance</w:t>
      </w:r>
      <w:r w:rsidRPr="00A36982">
        <w:rPr>
          <w:rFonts w:ascii="Times New Roman" w:eastAsia="Times New Roman" w:hAnsi="Times New Roman" w:cs="Times New Roman"/>
        </w:rPr>
        <w:t>, 61, 2597–2635.</w:t>
      </w:r>
    </w:p>
    <w:p w14:paraId="527DCFB9" w14:textId="77777777" w:rsidR="00BA5009" w:rsidRDefault="00BA5009" w:rsidP="00E27697">
      <w:pPr>
        <w:rPr>
          <w:rFonts w:ascii="Times New Roman" w:eastAsia="Times New Roman" w:hAnsi="Times New Roman" w:cs="Times New Roman"/>
        </w:rPr>
      </w:pPr>
    </w:p>
    <w:p w14:paraId="6E68D531" w14:textId="77777777" w:rsidR="00E27697" w:rsidRPr="00A36982" w:rsidRDefault="00E27697" w:rsidP="00E27697">
      <w:pPr>
        <w:rPr>
          <w:rFonts w:ascii="Times New Roman" w:eastAsia="Times New Roman" w:hAnsi="Times New Roman" w:cs="Times New Roman"/>
        </w:rPr>
      </w:pPr>
      <w:r>
        <w:rPr>
          <w:rFonts w:ascii="Times New Roman" w:eastAsia="Times New Roman" w:hAnsi="Times New Roman" w:cs="Times New Roman"/>
        </w:rPr>
        <w:t>Flammer C</w:t>
      </w:r>
      <w:r w:rsidRPr="00A36982">
        <w:rPr>
          <w:rFonts w:ascii="Times New Roman" w:eastAsia="Times New Roman" w:hAnsi="Times New Roman" w:cs="Times New Roman"/>
        </w:rPr>
        <w:t xml:space="preserve"> and Bansal</w:t>
      </w:r>
      <w:r>
        <w:rPr>
          <w:rFonts w:ascii="Times New Roman" w:eastAsia="Times New Roman" w:hAnsi="Times New Roman" w:cs="Times New Roman"/>
        </w:rPr>
        <w:t>, P. (2017) ‘Does a long-term orientation create value? Evidence from a regression discontinuity’,</w:t>
      </w:r>
      <w:r w:rsidRPr="00A36982">
        <w:rPr>
          <w:rFonts w:ascii="Times New Roman" w:eastAsia="Times New Roman" w:hAnsi="Times New Roman" w:cs="Times New Roman"/>
        </w:rPr>
        <w:t xml:space="preserve"> </w:t>
      </w:r>
      <w:r w:rsidRPr="004F5F91">
        <w:rPr>
          <w:rFonts w:ascii="Times New Roman" w:eastAsia="Times New Roman" w:hAnsi="Times New Roman" w:cs="Times New Roman"/>
          <w:i/>
        </w:rPr>
        <w:t>Strategic Management Journal</w:t>
      </w:r>
      <w:r w:rsidRPr="00A36982">
        <w:rPr>
          <w:rFonts w:ascii="Times New Roman" w:eastAsia="Times New Roman" w:hAnsi="Times New Roman" w:cs="Times New Roman"/>
        </w:rPr>
        <w:t>, 38 (9), 1827-1847</w:t>
      </w:r>
      <w:r>
        <w:rPr>
          <w:rFonts w:ascii="Times New Roman" w:eastAsia="Times New Roman" w:hAnsi="Times New Roman" w:cs="Times New Roman"/>
        </w:rPr>
        <w:t>.</w:t>
      </w:r>
    </w:p>
    <w:p w14:paraId="46C79B8E" w14:textId="77777777" w:rsidR="00E27697" w:rsidRPr="00A36982" w:rsidRDefault="00E27697" w:rsidP="00E27697">
      <w:pPr>
        <w:rPr>
          <w:rFonts w:ascii="Times New Roman" w:eastAsia="Times New Roman" w:hAnsi="Times New Roman" w:cs="Times New Roman"/>
        </w:rPr>
      </w:pPr>
    </w:p>
    <w:p w14:paraId="72A78002" w14:textId="77777777" w:rsidR="00E27697" w:rsidRPr="00A36982" w:rsidRDefault="00E27697" w:rsidP="00E27697">
      <w:pPr>
        <w:rPr>
          <w:rFonts w:ascii="Times New Roman" w:eastAsia="Times New Roman" w:hAnsi="Times New Roman" w:cs="Times New Roman"/>
        </w:rPr>
      </w:pPr>
      <w:r>
        <w:rPr>
          <w:rFonts w:ascii="Times New Roman" w:eastAsia="Times New Roman" w:hAnsi="Times New Roman" w:cs="Times New Roman"/>
        </w:rPr>
        <w:t>Getz, K</w:t>
      </w:r>
      <w:r w:rsidRPr="00A36982">
        <w:rPr>
          <w:rFonts w:ascii="Times New Roman" w:eastAsia="Times New Roman" w:hAnsi="Times New Roman" w:cs="Times New Roman"/>
        </w:rPr>
        <w:t xml:space="preserve">A. (2002). </w:t>
      </w:r>
      <w:r>
        <w:rPr>
          <w:rFonts w:ascii="Times New Roman" w:eastAsia="Times New Roman" w:hAnsi="Times New Roman" w:cs="Times New Roman"/>
        </w:rPr>
        <w:t>‘</w:t>
      </w:r>
      <w:r w:rsidRPr="00A36982">
        <w:rPr>
          <w:rFonts w:ascii="Times New Roman" w:eastAsia="Times New Roman" w:hAnsi="Times New Roman" w:cs="Times New Roman"/>
        </w:rPr>
        <w:t>Public affairs and political strategy: Theoretical foundations</w:t>
      </w:r>
      <w:r>
        <w:rPr>
          <w:rFonts w:ascii="Times New Roman" w:eastAsia="Times New Roman" w:hAnsi="Times New Roman" w:cs="Times New Roman"/>
        </w:rPr>
        <w:t>’,</w:t>
      </w:r>
      <w:r w:rsidRPr="00A36982">
        <w:rPr>
          <w:rFonts w:ascii="Times New Roman" w:eastAsia="Times New Roman" w:hAnsi="Times New Roman" w:cs="Times New Roman"/>
        </w:rPr>
        <w:t xml:space="preserve"> </w:t>
      </w:r>
      <w:r w:rsidRPr="004F5F91">
        <w:rPr>
          <w:rFonts w:ascii="Times New Roman" w:eastAsia="Times New Roman" w:hAnsi="Times New Roman" w:cs="Times New Roman"/>
          <w:i/>
        </w:rPr>
        <w:t>Journal of Public Affairs</w:t>
      </w:r>
      <w:r w:rsidRPr="00A36982">
        <w:rPr>
          <w:rFonts w:ascii="Times New Roman" w:eastAsia="Times New Roman" w:hAnsi="Times New Roman" w:cs="Times New Roman"/>
        </w:rPr>
        <w:t>, 1, 305-329.</w:t>
      </w:r>
    </w:p>
    <w:p w14:paraId="1EE6BC5F" w14:textId="77777777" w:rsidR="00E27697" w:rsidRPr="00A36982" w:rsidRDefault="00E27697" w:rsidP="00E27697">
      <w:pPr>
        <w:rPr>
          <w:rFonts w:ascii="Times New Roman" w:eastAsia="Times New Roman" w:hAnsi="Times New Roman" w:cs="Times New Roman"/>
        </w:rPr>
      </w:pPr>
    </w:p>
    <w:p w14:paraId="14D554DE" w14:textId="723E50B6" w:rsidR="00E27697" w:rsidRPr="00A36982" w:rsidRDefault="00E27697" w:rsidP="00E27697">
      <w:pPr>
        <w:rPr>
          <w:rFonts w:ascii="Times New Roman" w:eastAsia="Times New Roman" w:hAnsi="Times New Roman" w:cs="Times New Roman"/>
        </w:rPr>
      </w:pPr>
      <w:r w:rsidRPr="00A13CFC">
        <w:rPr>
          <w:rFonts w:ascii="Times New Roman" w:eastAsia="Times New Roman" w:hAnsi="Times New Roman" w:cs="Times New Roman"/>
        </w:rPr>
        <w:t xml:space="preserve">Ghosh, S and Nanda, R. (2010) ‘Venture capital investment in the clean energy sector’, Harvard Business School Working Paper. </w:t>
      </w:r>
    </w:p>
    <w:p w14:paraId="57257FA5" w14:textId="77777777" w:rsidR="00E27697" w:rsidRPr="00A36982" w:rsidRDefault="00E27697" w:rsidP="00E27697">
      <w:pPr>
        <w:rPr>
          <w:rFonts w:ascii="Times New Roman" w:eastAsia="Times New Roman" w:hAnsi="Times New Roman" w:cs="Times New Roman"/>
        </w:rPr>
      </w:pPr>
    </w:p>
    <w:p w14:paraId="549EC338" w14:textId="77777777" w:rsidR="00E27697" w:rsidRPr="00A36982" w:rsidRDefault="00E27697" w:rsidP="00E27697">
      <w:pPr>
        <w:rPr>
          <w:rFonts w:ascii="Times New Roman" w:eastAsia="Times New Roman" w:hAnsi="Times New Roman" w:cs="Times New Roman"/>
        </w:rPr>
      </w:pPr>
      <w:r>
        <w:rPr>
          <w:rFonts w:ascii="Times New Roman" w:eastAsia="Times New Roman" w:hAnsi="Times New Roman" w:cs="Times New Roman"/>
        </w:rPr>
        <w:t>Gomez-Mejia, LR, Balkin, DB, and Welbourne, T M. (1990) ‘</w:t>
      </w:r>
      <w:r w:rsidRPr="00A36982">
        <w:rPr>
          <w:rFonts w:ascii="Times New Roman" w:eastAsia="Times New Roman" w:hAnsi="Times New Roman" w:cs="Times New Roman"/>
        </w:rPr>
        <w:t>The influence of venture capitalists on management practices in the high technology industry</w:t>
      </w:r>
      <w:r>
        <w:rPr>
          <w:rFonts w:ascii="Times New Roman" w:eastAsia="Times New Roman" w:hAnsi="Times New Roman" w:cs="Times New Roman"/>
        </w:rPr>
        <w:t>’,</w:t>
      </w:r>
      <w:r w:rsidRPr="00A36982">
        <w:rPr>
          <w:rFonts w:ascii="Times New Roman" w:eastAsia="Times New Roman" w:hAnsi="Times New Roman" w:cs="Times New Roman"/>
        </w:rPr>
        <w:t xml:space="preserve"> </w:t>
      </w:r>
      <w:r w:rsidRPr="00125892">
        <w:rPr>
          <w:rFonts w:ascii="Times New Roman" w:eastAsia="Times New Roman" w:hAnsi="Times New Roman" w:cs="Times New Roman"/>
          <w:i/>
        </w:rPr>
        <w:t>Journal of High Technology Management</w:t>
      </w:r>
      <w:r w:rsidRPr="00A36982">
        <w:rPr>
          <w:rFonts w:ascii="Times New Roman" w:eastAsia="Times New Roman" w:hAnsi="Times New Roman" w:cs="Times New Roman"/>
        </w:rPr>
        <w:t>, 1, 107-118.</w:t>
      </w:r>
    </w:p>
    <w:p w14:paraId="69B412DC" w14:textId="77777777" w:rsidR="00E27697" w:rsidRPr="00A36982" w:rsidRDefault="00E27697" w:rsidP="00E27697">
      <w:pPr>
        <w:rPr>
          <w:rFonts w:ascii="Times New Roman" w:eastAsia="Times New Roman" w:hAnsi="Times New Roman" w:cs="Times New Roman"/>
        </w:rPr>
      </w:pPr>
    </w:p>
    <w:p w14:paraId="3F96DA0D" w14:textId="61181E68" w:rsidR="00BA5009" w:rsidRPr="002D20D4" w:rsidRDefault="00BA5009" w:rsidP="00BA5009">
      <w:pPr>
        <w:rPr>
          <w:rFonts w:ascii="Times New Roman" w:eastAsia="Times New Roman" w:hAnsi="Times New Roman" w:cs="Times New Roman"/>
        </w:rPr>
      </w:pPr>
      <w:r w:rsidRPr="002D20D4">
        <w:rPr>
          <w:rFonts w:ascii="Times New Roman" w:eastAsia="Times New Roman" w:hAnsi="Times New Roman" w:cs="Times New Roman"/>
        </w:rPr>
        <w:t xml:space="preserve">Gompers, P. A. (1995). </w:t>
      </w:r>
      <w:r w:rsidR="00312C9E">
        <w:rPr>
          <w:rFonts w:ascii="Times New Roman" w:eastAsia="Times New Roman" w:hAnsi="Times New Roman" w:cs="Times New Roman"/>
        </w:rPr>
        <w:t>‘</w:t>
      </w:r>
      <w:r w:rsidRPr="002D20D4">
        <w:rPr>
          <w:rFonts w:ascii="Times New Roman" w:eastAsia="Times New Roman" w:hAnsi="Times New Roman" w:cs="Times New Roman"/>
        </w:rPr>
        <w:t>Optimal investment, monitoring, and the staging of venture capital</w:t>
      </w:r>
      <w:r w:rsidR="00312C9E">
        <w:rPr>
          <w:rFonts w:ascii="Times New Roman" w:eastAsia="Times New Roman" w:hAnsi="Times New Roman" w:cs="Times New Roman"/>
        </w:rPr>
        <w:t>’</w:t>
      </w:r>
      <w:r w:rsidRPr="002D20D4">
        <w:rPr>
          <w:rFonts w:ascii="Times New Roman" w:eastAsia="Times New Roman" w:hAnsi="Times New Roman" w:cs="Times New Roman"/>
        </w:rPr>
        <w:t>.</w:t>
      </w:r>
      <w:r w:rsidRPr="00BA5009">
        <w:rPr>
          <w:rFonts w:ascii="Times New Roman" w:eastAsia="Times New Roman" w:hAnsi="Times New Roman" w:cs="Times New Roman"/>
        </w:rPr>
        <w:t> </w:t>
      </w:r>
      <w:r w:rsidR="005A66DE" w:rsidRPr="005A66DE">
        <w:rPr>
          <w:rFonts w:ascii="Times New Roman" w:eastAsia="Times New Roman" w:hAnsi="Times New Roman" w:cs="Times New Roman"/>
          <w:i/>
        </w:rPr>
        <w:t>The Journal of F</w:t>
      </w:r>
      <w:r w:rsidRPr="002D20D4">
        <w:rPr>
          <w:rFonts w:ascii="Times New Roman" w:eastAsia="Times New Roman" w:hAnsi="Times New Roman" w:cs="Times New Roman"/>
          <w:i/>
        </w:rPr>
        <w:t>inance</w:t>
      </w:r>
      <w:r w:rsidRPr="002D20D4">
        <w:rPr>
          <w:rFonts w:ascii="Times New Roman" w:eastAsia="Times New Roman" w:hAnsi="Times New Roman" w:cs="Times New Roman"/>
        </w:rPr>
        <w:t>,</w:t>
      </w:r>
      <w:r w:rsidRPr="00BA5009">
        <w:rPr>
          <w:rFonts w:ascii="Times New Roman" w:eastAsia="Times New Roman" w:hAnsi="Times New Roman" w:cs="Times New Roman"/>
        </w:rPr>
        <w:t> </w:t>
      </w:r>
      <w:r w:rsidRPr="002D20D4">
        <w:rPr>
          <w:rFonts w:ascii="Times New Roman" w:eastAsia="Times New Roman" w:hAnsi="Times New Roman" w:cs="Times New Roman"/>
        </w:rPr>
        <w:t>50(5), 1461-1489.</w:t>
      </w:r>
    </w:p>
    <w:p w14:paraId="19380981" w14:textId="77777777" w:rsidR="00BA5009" w:rsidRDefault="00BA5009" w:rsidP="00E27697">
      <w:pPr>
        <w:rPr>
          <w:rFonts w:ascii="Times New Roman" w:eastAsia="Times New Roman" w:hAnsi="Times New Roman" w:cs="Times New Roman"/>
        </w:rPr>
      </w:pPr>
    </w:p>
    <w:p w14:paraId="3C4461C1" w14:textId="77777777" w:rsidR="00E27697" w:rsidRPr="00A36982" w:rsidRDefault="00E27697" w:rsidP="00E27697">
      <w:pPr>
        <w:rPr>
          <w:rFonts w:ascii="Times New Roman" w:eastAsia="Times New Roman" w:hAnsi="Times New Roman" w:cs="Times New Roman"/>
        </w:rPr>
      </w:pPr>
      <w:r>
        <w:rPr>
          <w:rFonts w:ascii="Times New Roman" w:eastAsia="Times New Roman" w:hAnsi="Times New Roman" w:cs="Times New Roman"/>
        </w:rPr>
        <w:t>Groseclose, T</w:t>
      </w:r>
      <w:r w:rsidRPr="00A36982">
        <w:rPr>
          <w:rFonts w:ascii="Times New Roman" w:eastAsia="Times New Roman" w:hAnsi="Times New Roman" w:cs="Times New Roman"/>
        </w:rPr>
        <w:t xml:space="preserve">, Milyo, </w:t>
      </w:r>
      <w:r>
        <w:rPr>
          <w:rFonts w:ascii="Times New Roman" w:eastAsia="Times New Roman" w:hAnsi="Times New Roman" w:cs="Times New Roman"/>
        </w:rPr>
        <w:t xml:space="preserve">J, </w:t>
      </w:r>
      <w:r w:rsidRPr="00A36982">
        <w:rPr>
          <w:rFonts w:ascii="Times New Roman" w:eastAsia="Times New Roman" w:hAnsi="Times New Roman" w:cs="Times New Roman"/>
        </w:rPr>
        <w:t xml:space="preserve">and Primo, </w:t>
      </w:r>
      <w:r>
        <w:rPr>
          <w:rFonts w:ascii="Times New Roman" w:eastAsia="Times New Roman" w:hAnsi="Times New Roman" w:cs="Times New Roman"/>
        </w:rPr>
        <w:t>D. (</w:t>
      </w:r>
      <w:r w:rsidRPr="00A36982">
        <w:rPr>
          <w:rFonts w:ascii="Times New Roman" w:eastAsia="Times New Roman" w:hAnsi="Times New Roman" w:cs="Times New Roman"/>
        </w:rPr>
        <w:t>2000</w:t>
      </w:r>
      <w:r>
        <w:rPr>
          <w:rFonts w:ascii="Times New Roman" w:eastAsia="Times New Roman" w:hAnsi="Times New Roman" w:cs="Times New Roman"/>
        </w:rPr>
        <w:t>)</w:t>
      </w:r>
      <w:r w:rsidRPr="00A36982">
        <w:rPr>
          <w:rFonts w:ascii="Times New Roman" w:eastAsia="Times New Roman" w:hAnsi="Times New Roman" w:cs="Times New Roman"/>
        </w:rPr>
        <w:t xml:space="preserve"> </w:t>
      </w:r>
      <w:r>
        <w:rPr>
          <w:rFonts w:ascii="Times New Roman" w:eastAsia="Times New Roman" w:hAnsi="Times New Roman" w:cs="Times New Roman"/>
        </w:rPr>
        <w:t>‘</w:t>
      </w:r>
      <w:r w:rsidRPr="00A36982">
        <w:rPr>
          <w:rFonts w:ascii="Times New Roman" w:eastAsia="Times New Roman" w:hAnsi="Times New Roman" w:cs="Times New Roman"/>
        </w:rPr>
        <w:t>Corporate PAC campaign contributions in perspective</w:t>
      </w:r>
      <w:r>
        <w:rPr>
          <w:rFonts w:ascii="Times New Roman" w:eastAsia="Times New Roman" w:hAnsi="Times New Roman" w:cs="Times New Roman"/>
        </w:rPr>
        <w:t>’</w:t>
      </w:r>
      <w:r w:rsidRPr="00A36982">
        <w:rPr>
          <w:rFonts w:ascii="Times New Roman" w:eastAsia="Times New Roman" w:hAnsi="Times New Roman" w:cs="Times New Roman"/>
        </w:rPr>
        <w:t xml:space="preserve">, </w:t>
      </w:r>
      <w:r w:rsidRPr="00125892">
        <w:rPr>
          <w:rFonts w:ascii="Times New Roman" w:eastAsia="Times New Roman" w:hAnsi="Times New Roman" w:cs="Times New Roman"/>
          <w:i/>
        </w:rPr>
        <w:t>Business and Politics</w:t>
      </w:r>
      <w:r>
        <w:rPr>
          <w:rFonts w:ascii="Times New Roman" w:eastAsia="Times New Roman" w:hAnsi="Times New Roman" w:cs="Times New Roman"/>
          <w:i/>
        </w:rPr>
        <w:t>,</w:t>
      </w:r>
      <w:r w:rsidRPr="00A36982">
        <w:rPr>
          <w:rFonts w:ascii="Times New Roman" w:eastAsia="Times New Roman" w:hAnsi="Times New Roman" w:cs="Times New Roman"/>
        </w:rPr>
        <w:t xml:space="preserve"> 2, 75-88. </w:t>
      </w:r>
    </w:p>
    <w:p w14:paraId="26670F2B" w14:textId="77777777" w:rsidR="00E27697" w:rsidRPr="00A36982" w:rsidRDefault="00E27697" w:rsidP="00E27697">
      <w:pPr>
        <w:rPr>
          <w:rFonts w:ascii="Times New Roman" w:eastAsia="Times New Roman" w:hAnsi="Times New Roman" w:cs="Times New Roman"/>
        </w:rPr>
      </w:pPr>
    </w:p>
    <w:p w14:paraId="5ABDA73B" w14:textId="77777777" w:rsidR="00E27697" w:rsidRPr="00A36982" w:rsidRDefault="00E27697" w:rsidP="00E27697">
      <w:pPr>
        <w:rPr>
          <w:rFonts w:ascii="Times New Roman" w:eastAsia="Times New Roman" w:hAnsi="Times New Roman" w:cs="Times New Roman"/>
        </w:rPr>
      </w:pPr>
      <w:r w:rsidRPr="00A36982">
        <w:rPr>
          <w:rFonts w:ascii="Times New Roman" w:eastAsia="Times New Roman" w:hAnsi="Times New Roman" w:cs="Times New Roman"/>
        </w:rPr>
        <w:t>Hadani, M. (2007). ‘Family matters founding family firms an</w:t>
      </w:r>
      <w:r>
        <w:rPr>
          <w:rFonts w:ascii="Times New Roman" w:eastAsia="Times New Roman" w:hAnsi="Times New Roman" w:cs="Times New Roman"/>
        </w:rPr>
        <w:t>d corporate political activity’,</w:t>
      </w:r>
      <w:r w:rsidRPr="00A36982">
        <w:rPr>
          <w:rFonts w:ascii="Times New Roman" w:eastAsia="Times New Roman" w:hAnsi="Times New Roman" w:cs="Times New Roman"/>
        </w:rPr>
        <w:t xml:space="preserve"> </w:t>
      </w:r>
      <w:r w:rsidRPr="00125892">
        <w:rPr>
          <w:rFonts w:ascii="Times New Roman" w:eastAsia="Times New Roman" w:hAnsi="Times New Roman" w:cs="Times New Roman"/>
          <w:i/>
        </w:rPr>
        <w:t>Business &amp; Society</w:t>
      </w:r>
      <w:r w:rsidRPr="00A36982">
        <w:rPr>
          <w:rFonts w:ascii="Times New Roman" w:eastAsia="Times New Roman" w:hAnsi="Times New Roman" w:cs="Times New Roman"/>
        </w:rPr>
        <w:t xml:space="preserve">, 46, 395-428. </w:t>
      </w:r>
    </w:p>
    <w:p w14:paraId="38C56EA1" w14:textId="77777777" w:rsidR="00E27697" w:rsidRPr="00A36982" w:rsidRDefault="00E27697" w:rsidP="00E27697">
      <w:pPr>
        <w:rPr>
          <w:rFonts w:ascii="Times New Roman" w:eastAsia="Times New Roman" w:hAnsi="Times New Roman" w:cs="Times New Roman"/>
        </w:rPr>
      </w:pPr>
    </w:p>
    <w:p w14:paraId="0931FB6C" w14:textId="77777777" w:rsidR="00E27697" w:rsidRPr="00A36982" w:rsidRDefault="00E27697" w:rsidP="00E27697">
      <w:pPr>
        <w:rPr>
          <w:rFonts w:ascii="Times New Roman" w:eastAsia="Times New Roman" w:hAnsi="Times New Roman" w:cs="Times New Roman"/>
        </w:rPr>
      </w:pPr>
      <w:r w:rsidRPr="00A36982">
        <w:rPr>
          <w:rFonts w:ascii="Times New Roman" w:eastAsia="Times New Roman" w:hAnsi="Times New Roman" w:cs="Times New Roman"/>
        </w:rPr>
        <w:t xml:space="preserve">Hadani, M. (2012). </w:t>
      </w:r>
      <w:r>
        <w:rPr>
          <w:rFonts w:ascii="Times New Roman" w:eastAsia="Times New Roman" w:hAnsi="Times New Roman" w:cs="Times New Roman"/>
        </w:rPr>
        <w:t>‘</w:t>
      </w:r>
      <w:r w:rsidRPr="00A36982">
        <w:rPr>
          <w:rFonts w:ascii="Times New Roman" w:eastAsia="Times New Roman" w:hAnsi="Times New Roman" w:cs="Times New Roman"/>
        </w:rPr>
        <w:t>Institutional ownership monitoring and corporate political activity: Governance implications</w:t>
      </w:r>
      <w:r>
        <w:rPr>
          <w:rFonts w:ascii="Times New Roman" w:eastAsia="Times New Roman" w:hAnsi="Times New Roman" w:cs="Times New Roman"/>
        </w:rPr>
        <w:t>’,</w:t>
      </w:r>
      <w:r w:rsidRPr="00A36982">
        <w:rPr>
          <w:rFonts w:ascii="Times New Roman" w:eastAsia="Times New Roman" w:hAnsi="Times New Roman" w:cs="Times New Roman"/>
        </w:rPr>
        <w:t xml:space="preserve"> </w:t>
      </w:r>
      <w:r w:rsidRPr="00125892">
        <w:rPr>
          <w:rFonts w:ascii="Times New Roman" w:eastAsia="Times New Roman" w:hAnsi="Times New Roman" w:cs="Times New Roman"/>
          <w:i/>
        </w:rPr>
        <w:t>Journal of Business Research</w:t>
      </w:r>
      <w:r w:rsidRPr="00A36982">
        <w:rPr>
          <w:rFonts w:ascii="Times New Roman" w:eastAsia="Times New Roman" w:hAnsi="Times New Roman" w:cs="Times New Roman"/>
        </w:rPr>
        <w:t>, 65, 944-950.</w:t>
      </w:r>
    </w:p>
    <w:p w14:paraId="5D87050C" w14:textId="77777777" w:rsidR="00E27697" w:rsidRPr="00A36982" w:rsidRDefault="00E27697" w:rsidP="00E27697">
      <w:pPr>
        <w:rPr>
          <w:rFonts w:ascii="Times New Roman" w:eastAsia="Times New Roman" w:hAnsi="Times New Roman" w:cs="Times New Roman"/>
        </w:rPr>
      </w:pPr>
    </w:p>
    <w:p w14:paraId="1FD97AA6" w14:textId="77777777" w:rsidR="00E27697" w:rsidRPr="00A36982" w:rsidRDefault="00E27697" w:rsidP="00E27697">
      <w:pPr>
        <w:rPr>
          <w:rFonts w:ascii="Times New Roman" w:eastAsia="Times New Roman" w:hAnsi="Times New Roman" w:cs="Times New Roman"/>
        </w:rPr>
      </w:pPr>
      <w:r>
        <w:rPr>
          <w:rFonts w:ascii="Times New Roman" w:eastAsia="Times New Roman" w:hAnsi="Times New Roman" w:cs="Times New Roman"/>
        </w:rPr>
        <w:t>Hadani, M</w:t>
      </w:r>
      <w:r w:rsidRPr="00A36982">
        <w:rPr>
          <w:rFonts w:ascii="Times New Roman" w:eastAsia="Times New Roman" w:hAnsi="Times New Roman" w:cs="Times New Roman"/>
        </w:rPr>
        <w:t>, Munshi</w:t>
      </w:r>
      <w:r>
        <w:rPr>
          <w:rFonts w:ascii="Times New Roman" w:eastAsia="Times New Roman" w:hAnsi="Times New Roman" w:cs="Times New Roman"/>
        </w:rPr>
        <w:t xml:space="preserve">, N, </w:t>
      </w:r>
      <w:r w:rsidRPr="00A36982">
        <w:rPr>
          <w:rFonts w:ascii="Times New Roman" w:eastAsia="Times New Roman" w:hAnsi="Times New Roman" w:cs="Times New Roman"/>
        </w:rPr>
        <w:t>and Clark</w:t>
      </w:r>
      <w:r>
        <w:rPr>
          <w:rFonts w:ascii="Times New Roman" w:eastAsia="Times New Roman" w:hAnsi="Times New Roman" w:cs="Times New Roman"/>
        </w:rPr>
        <w:t>, K</w:t>
      </w:r>
      <w:r w:rsidRPr="00A36982">
        <w:rPr>
          <w:rFonts w:ascii="Times New Roman" w:eastAsia="Times New Roman" w:hAnsi="Times New Roman" w:cs="Times New Roman"/>
        </w:rPr>
        <w:t xml:space="preserve">. </w:t>
      </w:r>
      <w:r>
        <w:rPr>
          <w:rFonts w:ascii="Times New Roman" w:eastAsia="Times New Roman" w:hAnsi="Times New Roman" w:cs="Times New Roman"/>
        </w:rPr>
        <w:t>(</w:t>
      </w:r>
      <w:r w:rsidRPr="00A36982">
        <w:rPr>
          <w:rFonts w:ascii="Times New Roman" w:eastAsia="Times New Roman" w:hAnsi="Times New Roman" w:cs="Times New Roman"/>
        </w:rPr>
        <w:t>2017</w:t>
      </w:r>
      <w:r>
        <w:rPr>
          <w:rFonts w:ascii="Times New Roman" w:eastAsia="Times New Roman" w:hAnsi="Times New Roman" w:cs="Times New Roman"/>
        </w:rPr>
        <w:t>) ‘The more you give, the more you get? The impact of corporate political activity on the value of government contracts’,</w:t>
      </w:r>
      <w:r w:rsidRPr="00A36982">
        <w:rPr>
          <w:rFonts w:ascii="Times New Roman" w:eastAsia="Times New Roman" w:hAnsi="Times New Roman" w:cs="Times New Roman"/>
        </w:rPr>
        <w:t xml:space="preserve"> </w:t>
      </w:r>
      <w:r w:rsidRPr="00125892">
        <w:rPr>
          <w:rFonts w:ascii="Times New Roman" w:eastAsia="Times New Roman" w:hAnsi="Times New Roman" w:cs="Times New Roman"/>
          <w:i/>
        </w:rPr>
        <w:t>Business and Society Review</w:t>
      </w:r>
      <w:r>
        <w:rPr>
          <w:rFonts w:ascii="Times New Roman" w:eastAsia="Times New Roman" w:hAnsi="Times New Roman" w:cs="Times New Roman"/>
        </w:rPr>
        <w:t xml:space="preserve">, 122(3), </w:t>
      </w:r>
      <w:r w:rsidRPr="00A36982">
        <w:rPr>
          <w:rFonts w:ascii="Times New Roman" w:eastAsia="Times New Roman" w:hAnsi="Times New Roman" w:cs="Times New Roman"/>
        </w:rPr>
        <w:t>421–448.</w:t>
      </w:r>
    </w:p>
    <w:p w14:paraId="7542EB3F" w14:textId="77777777" w:rsidR="00E27697" w:rsidRPr="00A36982" w:rsidRDefault="00E27697" w:rsidP="00E27697">
      <w:pPr>
        <w:rPr>
          <w:rFonts w:ascii="Times New Roman" w:eastAsia="Times New Roman" w:hAnsi="Times New Roman" w:cs="Times New Roman"/>
        </w:rPr>
      </w:pPr>
    </w:p>
    <w:p w14:paraId="2347D1E4" w14:textId="77777777" w:rsidR="00E27697" w:rsidRPr="00A36982" w:rsidRDefault="00E27697" w:rsidP="00E27697">
      <w:pPr>
        <w:rPr>
          <w:rFonts w:ascii="Times New Roman" w:eastAsia="Times New Roman" w:hAnsi="Times New Roman" w:cs="Times New Roman"/>
        </w:rPr>
      </w:pPr>
      <w:r>
        <w:rPr>
          <w:rFonts w:ascii="Times New Roman" w:eastAsia="Times New Roman" w:hAnsi="Times New Roman" w:cs="Times New Roman"/>
        </w:rPr>
        <w:t>Hadani, M and Schuler, DA. (2013) ‘</w:t>
      </w:r>
      <w:r w:rsidRPr="00A36982">
        <w:rPr>
          <w:rFonts w:ascii="Times New Roman" w:eastAsia="Times New Roman" w:hAnsi="Times New Roman" w:cs="Times New Roman"/>
        </w:rPr>
        <w:t>In search of el dorado: The elusive financial returns on corporate political investments</w:t>
      </w:r>
      <w:r>
        <w:rPr>
          <w:rFonts w:ascii="Times New Roman" w:eastAsia="Times New Roman" w:hAnsi="Times New Roman" w:cs="Times New Roman"/>
        </w:rPr>
        <w:t>’,</w:t>
      </w:r>
      <w:r w:rsidRPr="00A36982">
        <w:rPr>
          <w:rFonts w:ascii="Times New Roman" w:eastAsia="Times New Roman" w:hAnsi="Times New Roman" w:cs="Times New Roman"/>
        </w:rPr>
        <w:t xml:space="preserve"> </w:t>
      </w:r>
      <w:r w:rsidRPr="00125892">
        <w:rPr>
          <w:rFonts w:ascii="Times New Roman" w:eastAsia="Times New Roman" w:hAnsi="Times New Roman" w:cs="Times New Roman"/>
          <w:i/>
        </w:rPr>
        <w:t>Strategic Management Journal</w:t>
      </w:r>
      <w:r w:rsidRPr="00A36982">
        <w:rPr>
          <w:rFonts w:ascii="Times New Roman" w:eastAsia="Times New Roman" w:hAnsi="Times New Roman" w:cs="Times New Roman"/>
        </w:rPr>
        <w:t xml:space="preserve">, 34(2), 165-181. </w:t>
      </w:r>
    </w:p>
    <w:p w14:paraId="154BD100" w14:textId="77777777" w:rsidR="00E27697" w:rsidRPr="00A36982" w:rsidRDefault="00E27697" w:rsidP="00E27697">
      <w:pPr>
        <w:rPr>
          <w:rFonts w:ascii="Times New Roman" w:eastAsia="Times New Roman" w:hAnsi="Times New Roman" w:cs="Times New Roman"/>
        </w:rPr>
      </w:pPr>
    </w:p>
    <w:p w14:paraId="189DB72F" w14:textId="77777777" w:rsidR="00E27697" w:rsidRPr="00A36982" w:rsidRDefault="00E27697" w:rsidP="00E27697">
      <w:pPr>
        <w:rPr>
          <w:rFonts w:ascii="Times New Roman" w:eastAsia="Times New Roman" w:hAnsi="Times New Roman" w:cs="Times New Roman"/>
        </w:rPr>
      </w:pPr>
      <w:r>
        <w:rPr>
          <w:rFonts w:ascii="Times New Roman" w:eastAsia="Times New Roman" w:hAnsi="Times New Roman" w:cs="Times New Roman"/>
        </w:rPr>
        <w:t>Hadani, M</w:t>
      </w:r>
      <w:r w:rsidRPr="00A36982">
        <w:rPr>
          <w:rFonts w:ascii="Times New Roman" w:eastAsia="Times New Roman" w:hAnsi="Times New Roman" w:cs="Times New Roman"/>
        </w:rPr>
        <w:t xml:space="preserve">, Bonardi, </w:t>
      </w:r>
      <w:r>
        <w:rPr>
          <w:rFonts w:ascii="Times New Roman" w:eastAsia="Times New Roman" w:hAnsi="Times New Roman" w:cs="Times New Roman"/>
        </w:rPr>
        <w:t>JP,</w:t>
      </w:r>
      <w:r w:rsidRPr="00A36982">
        <w:rPr>
          <w:rFonts w:ascii="Times New Roman" w:eastAsia="Times New Roman" w:hAnsi="Times New Roman" w:cs="Times New Roman"/>
        </w:rPr>
        <w:t xml:space="preserve"> and Dahan</w:t>
      </w:r>
      <w:r>
        <w:rPr>
          <w:rFonts w:ascii="Times New Roman" w:eastAsia="Times New Roman" w:hAnsi="Times New Roman" w:cs="Times New Roman"/>
        </w:rPr>
        <w:t>, NM</w:t>
      </w:r>
      <w:r w:rsidRPr="00A36982">
        <w:rPr>
          <w:rFonts w:ascii="Times New Roman" w:eastAsia="Times New Roman" w:hAnsi="Times New Roman" w:cs="Times New Roman"/>
        </w:rPr>
        <w:t xml:space="preserve">. </w:t>
      </w:r>
      <w:r>
        <w:rPr>
          <w:rFonts w:ascii="Times New Roman" w:eastAsia="Times New Roman" w:hAnsi="Times New Roman" w:cs="Times New Roman"/>
        </w:rPr>
        <w:t>(</w:t>
      </w:r>
      <w:r w:rsidRPr="00A36982">
        <w:rPr>
          <w:rFonts w:ascii="Times New Roman" w:eastAsia="Times New Roman" w:hAnsi="Times New Roman" w:cs="Times New Roman"/>
        </w:rPr>
        <w:t>2017</w:t>
      </w:r>
      <w:r>
        <w:rPr>
          <w:rFonts w:ascii="Times New Roman" w:eastAsia="Times New Roman" w:hAnsi="Times New Roman" w:cs="Times New Roman"/>
        </w:rPr>
        <w:t>)</w:t>
      </w:r>
      <w:r w:rsidRPr="00A36982">
        <w:rPr>
          <w:rFonts w:ascii="Times New Roman" w:eastAsia="Times New Roman" w:hAnsi="Times New Roman" w:cs="Times New Roman"/>
        </w:rPr>
        <w:t xml:space="preserve"> </w:t>
      </w:r>
      <w:r>
        <w:rPr>
          <w:rFonts w:ascii="Times New Roman" w:eastAsia="Times New Roman" w:hAnsi="Times New Roman" w:cs="Times New Roman"/>
        </w:rPr>
        <w:t>‘</w:t>
      </w:r>
      <w:r w:rsidRPr="00A36982">
        <w:rPr>
          <w:rFonts w:ascii="Times New Roman" w:eastAsia="Times New Roman" w:hAnsi="Times New Roman" w:cs="Times New Roman"/>
        </w:rPr>
        <w:t>Corporate political activity, public policy uncertainty, and firm outcomes: A meta-analysis</w:t>
      </w:r>
      <w:r>
        <w:rPr>
          <w:rFonts w:ascii="Times New Roman" w:eastAsia="Times New Roman" w:hAnsi="Times New Roman" w:cs="Times New Roman"/>
        </w:rPr>
        <w:t>’,</w:t>
      </w:r>
      <w:r w:rsidRPr="00A36982">
        <w:rPr>
          <w:rFonts w:ascii="Times New Roman" w:eastAsia="Times New Roman" w:hAnsi="Times New Roman" w:cs="Times New Roman"/>
        </w:rPr>
        <w:t xml:space="preserve"> </w:t>
      </w:r>
      <w:r w:rsidRPr="00125892">
        <w:rPr>
          <w:rFonts w:ascii="Times New Roman" w:eastAsia="Times New Roman" w:hAnsi="Times New Roman" w:cs="Times New Roman"/>
          <w:i/>
        </w:rPr>
        <w:t>Strategic Organization</w:t>
      </w:r>
      <w:r>
        <w:rPr>
          <w:rFonts w:ascii="Times New Roman" w:eastAsia="Times New Roman" w:hAnsi="Times New Roman" w:cs="Times New Roman"/>
          <w:i/>
        </w:rPr>
        <w:t>,</w:t>
      </w:r>
      <w:r>
        <w:rPr>
          <w:rFonts w:ascii="Times New Roman" w:eastAsia="Times New Roman" w:hAnsi="Times New Roman" w:cs="Times New Roman"/>
        </w:rPr>
        <w:t xml:space="preserve"> 15(3), </w:t>
      </w:r>
      <w:r w:rsidRPr="00A36982">
        <w:rPr>
          <w:rFonts w:ascii="Times New Roman" w:eastAsia="Times New Roman" w:hAnsi="Times New Roman" w:cs="Times New Roman"/>
        </w:rPr>
        <w:t xml:space="preserve">338–366. </w:t>
      </w:r>
    </w:p>
    <w:p w14:paraId="758932CE" w14:textId="77777777" w:rsidR="00E27697" w:rsidRPr="00A36982" w:rsidRDefault="00E27697" w:rsidP="00E27697">
      <w:pPr>
        <w:rPr>
          <w:rFonts w:ascii="Times New Roman" w:eastAsia="Times New Roman" w:hAnsi="Times New Roman" w:cs="Times New Roman"/>
        </w:rPr>
      </w:pPr>
    </w:p>
    <w:p w14:paraId="2B6EF389" w14:textId="77777777" w:rsidR="00E27697" w:rsidRPr="00A36982" w:rsidRDefault="00E27697" w:rsidP="00E27697">
      <w:pPr>
        <w:rPr>
          <w:rFonts w:ascii="Times New Roman" w:eastAsia="Times New Roman" w:hAnsi="Times New Roman" w:cs="Times New Roman"/>
        </w:rPr>
      </w:pPr>
      <w:r>
        <w:rPr>
          <w:rFonts w:ascii="Times New Roman" w:eastAsia="Times New Roman" w:hAnsi="Times New Roman" w:cs="Times New Roman"/>
        </w:rPr>
        <w:t>Hannan, MT and</w:t>
      </w:r>
      <w:r w:rsidRPr="00A36982">
        <w:rPr>
          <w:rFonts w:ascii="Times New Roman" w:eastAsia="Times New Roman" w:hAnsi="Times New Roman" w:cs="Times New Roman"/>
        </w:rPr>
        <w:t xml:space="preserve"> Freeman, J. </w:t>
      </w:r>
      <w:r>
        <w:rPr>
          <w:rFonts w:ascii="Times New Roman" w:eastAsia="Times New Roman" w:hAnsi="Times New Roman" w:cs="Times New Roman"/>
        </w:rPr>
        <w:t>(</w:t>
      </w:r>
      <w:r w:rsidRPr="00A36982">
        <w:rPr>
          <w:rFonts w:ascii="Times New Roman" w:eastAsia="Times New Roman" w:hAnsi="Times New Roman" w:cs="Times New Roman"/>
        </w:rPr>
        <w:t>1984</w:t>
      </w:r>
      <w:r>
        <w:rPr>
          <w:rFonts w:ascii="Times New Roman" w:eastAsia="Times New Roman" w:hAnsi="Times New Roman" w:cs="Times New Roman"/>
        </w:rPr>
        <w:t>)</w:t>
      </w:r>
      <w:r w:rsidRPr="00A36982">
        <w:rPr>
          <w:rFonts w:ascii="Times New Roman" w:eastAsia="Times New Roman" w:hAnsi="Times New Roman" w:cs="Times New Roman"/>
        </w:rPr>
        <w:t xml:space="preserve"> </w:t>
      </w:r>
      <w:r>
        <w:rPr>
          <w:rFonts w:ascii="Times New Roman" w:eastAsia="Times New Roman" w:hAnsi="Times New Roman" w:cs="Times New Roman"/>
        </w:rPr>
        <w:t>‘Structural inertia and organizational c</w:t>
      </w:r>
      <w:r w:rsidRPr="00A36982">
        <w:rPr>
          <w:rFonts w:ascii="Times New Roman" w:eastAsia="Times New Roman" w:hAnsi="Times New Roman" w:cs="Times New Roman"/>
        </w:rPr>
        <w:t>hange</w:t>
      </w:r>
      <w:r>
        <w:rPr>
          <w:rFonts w:ascii="Times New Roman" w:eastAsia="Times New Roman" w:hAnsi="Times New Roman" w:cs="Times New Roman"/>
        </w:rPr>
        <w:t>’,</w:t>
      </w:r>
      <w:r w:rsidRPr="00A36982">
        <w:rPr>
          <w:rFonts w:ascii="Times New Roman" w:eastAsia="Times New Roman" w:hAnsi="Times New Roman" w:cs="Times New Roman"/>
        </w:rPr>
        <w:t xml:space="preserve"> </w:t>
      </w:r>
      <w:r w:rsidRPr="00125892">
        <w:rPr>
          <w:rFonts w:ascii="Times New Roman" w:eastAsia="Times New Roman" w:hAnsi="Times New Roman" w:cs="Times New Roman"/>
          <w:i/>
        </w:rPr>
        <w:t>American Sociological Review</w:t>
      </w:r>
      <w:r>
        <w:rPr>
          <w:rFonts w:ascii="Times New Roman" w:eastAsia="Times New Roman" w:hAnsi="Times New Roman" w:cs="Times New Roman"/>
        </w:rPr>
        <w:t>, 49(2),</w:t>
      </w:r>
      <w:r w:rsidRPr="00A36982">
        <w:rPr>
          <w:rFonts w:ascii="Times New Roman" w:eastAsia="Times New Roman" w:hAnsi="Times New Roman" w:cs="Times New Roman"/>
        </w:rPr>
        <w:t xml:space="preserve"> 149-164. </w:t>
      </w:r>
    </w:p>
    <w:p w14:paraId="5A819B6B" w14:textId="77777777" w:rsidR="00E27697" w:rsidRPr="00A36982" w:rsidRDefault="00E27697" w:rsidP="00E27697">
      <w:pPr>
        <w:rPr>
          <w:rFonts w:ascii="Times New Roman" w:hAnsi="Times New Roman" w:cs="Times New Roman"/>
        </w:rPr>
      </w:pPr>
    </w:p>
    <w:p w14:paraId="3934511B" w14:textId="77777777" w:rsidR="00E27697" w:rsidRPr="00A36982" w:rsidRDefault="00E27697" w:rsidP="00E27697">
      <w:pPr>
        <w:shd w:val="clear" w:color="auto" w:fill="FFFFFF"/>
        <w:spacing w:line="0" w:lineRule="auto"/>
        <w:rPr>
          <w:rFonts w:ascii="Times New Roman" w:eastAsia="Times New Roman" w:hAnsi="Times New Roman" w:cs="Times New Roman"/>
          <w:color w:val="231F20"/>
        </w:rPr>
      </w:pPr>
      <w:r w:rsidRPr="00A36982">
        <w:rPr>
          <w:rFonts w:ascii="Times New Roman" w:eastAsia="Times New Roman" w:hAnsi="Times New Roman" w:cs="Times New Roman"/>
          <w:color w:val="231F20"/>
        </w:rPr>
        <w:t xml:space="preserve">Hart, D. M. 2001. Why do some firms give? Why do some give a lot? High-tech PACs, 1977-1996. Journal of </w:t>
      </w:r>
    </w:p>
    <w:p w14:paraId="27184E9A" w14:textId="77777777" w:rsidR="00E27697" w:rsidRPr="00A36982" w:rsidRDefault="00E27697" w:rsidP="00E27697">
      <w:pPr>
        <w:shd w:val="clear" w:color="auto" w:fill="FFFFFF"/>
        <w:spacing w:line="0" w:lineRule="auto"/>
        <w:rPr>
          <w:rFonts w:ascii="Times New Roman" w:eastAsia="Times New Roman" w:hAnsi="Times New Roman" w:cs="Times New Roman"/>
          <w:color w:val="231F20"/>
        </w:rPr>
      </w:pPr>
      <w:r w:rsidRPr="00A36982">
        <w:rPr>
          <w:rFonts w:ascii="Times New Roman" w:eastAsia="Times New Roman" w:hAnsi="Times New Roman" w:cs="Times New Roman"/>
          <w:color w:val="231F20"/>
        </w:rPr>
        <w:t>Politics, 63: 1230-1249.</w:t>
      </w:r>
    </w:p>
    <w:p w14:paraId="6A8C42F5" w14:textId="77777777" w:rsidR="00E27697" w:rsidRPr="00A36982" w:rsidRDefault="00E27697" w:rsidP="00E27697">
      <w:pPr>
        <w:shd w:val="clear" w:color="auto" w:fill="FFFFFF"/>
        <w:spacing w:line="0" w:lineRule="auto"/>
        <w:rPr>
          <w:rFonts w:ascii="Times New Roman" w:eastAsia="Times New Roman" w:hAnsi="Times New Roman" w:cs="Times New Roman"/>
          <w:color w:val="231F20"/>
        </w:rPr>
      </w:pPr>
      <w:r w:rsidRPr="00A36982">
        <w:rPr>
          <w:rFonts w:ascii="Times New Roman" w:eastAsia="Times New Roman" w:hAnsi="Times New Roman" w:cs="Times New Roman"/>
          <w:color w:val="231F20"/>
        </w:rPr>
        <w:t xml:space="preserve">Hart, D. M. 2001. Why do some firms give? Why do some give a lot? High-tech PACs, 1977-1996. Journal of </w:t>
      </w:r>
    </w:p>
    <w:p w14:paraId="21F1A91E" w14:textId="77777777" w:rsidR="00E27697" w:rsidRPr="00A36982" w:rsidRDefault="00E27697" w:rsidP="00E27697">
      <w:pPr>
        <w:shd w:val="clear" w:color="auto" w:fill="FFFFFF"/>
        <w:spacing w:line="0" w:lineRule="auto"/>
        <w:rPr>
          <w:rFonts w:ascii="Times New Roman" w:eastAsia="Times New Roman" w:hAnsi="Times New Roman" w:cs="Times New Roman"/>
          <w:color w:val="231F20"/>
        </w:rPr>
      </w:pPr>
      <w:r w:rsidRPr="00A36982">
        <w:rPr>
          <w:rFonts w:ascii="Times New Roman" w:eastAsia="Times New Roman" w:hAnsi="Times New Roman" w:cs="Times New Roman"/>
          <w:color w:val="231F20"/>
        </w:rPr>
        <w:t>Politics, 63: 1230-1249.</w:t>
      </w:r>
    </w:p>
    <w:p w14:paraId="4EF19DE4" w14:textId="77777777" w:rsidR="00E27697" w:rsidRPr="00A36982" w:rsidRDefault="00E27697" w:rsidP="00E27697">
      <w:pPr>
        <w:shd w:val="clear" w:color="auto" w:fill="FFFFFF"/>
        <w:spacing w:line="0" w:lineRule="auto"/>
        <w:rPr>
          <w:rFonts w:ascii="Times New Roman" w:eastAsia="Times New Roman" w:hAnsi="Times New Roman" w:cs="Times New Roman"/>
          <w:color w:val="231F20"/>
        </w:rPr>
      </w:pPr>
      <w:r w:rsidRPr="00A36982">
        <w:rPr>
          <w:rFonts w:ascii="Times New Roman" w:eastAsia="Times New Roman" w:hAnsi="Times New Roman" w:cs="Times New Roman"/>
          <w:color w:val="231F20"/>
        </w:rPr>
        <w:t xml:space="preserve">Hart, D. M. 2001. Why do some firms give? Why do some give a lot? High-tech PACs, 1977-1996. Journal of </w:t>
      </w:r>
    </w:p>
    <w:p w14:paraId="2643244C" w14:textId="77777777" w:rsidR="00E27697" w:rsidRPr="00A36982" w:rsidRDefault="00E27697" w:rsidP="00E27697">
      <w:pPr>
        <w:shd w:val="clear" w:color="auto" w:fill="FFFFFF"/>
        <w:spacing w:line="0" w:lineRule="auto"/>
        <w:rPr>
          <w:rFonts w:ascii="Times New Roman" w:eastAsia="Times New Roman" w:hAnsi="Times New Roman" w:cs="Times New Roman"/>
          <w:color w:val="231F20"/>
        </w:rPr>
      </w:pPr>
      <w:r w:rsidRPr="00A36982">
        <w:rPr>
          <w:rFonts w:ascii="Times New Roman" w:eastAsia="Times New Roman" w:hAnsi="Times New Roman" w:cs="Times New Roman"/>
          <w:color w:val="231F20"/>
        </w:rPr>
        <w:t>Politics, 63: 1230-1249</w:t>
      </w:r>
    </w:p>
    <w:p w14:paraId="78D443BC" w14:textId="77777777" w:rsidR="00E27697" w:rsidRPr="00A36982" w:rsidRDefault="00E27697" w:rsidP="00E27697">
      <w:pPr>
        <w:rPr>
          <w:rFonts w:ascii="Times New Roman" w:eastAsia="Times New Roman" w:hAnsi="Times New Roman" w:cs="Times New Roman"/>
        </w:rPr>
      </w:pPr>
      <w:r>
        <w:rPr>
          <w:rFonts w:ascii="Times New Roman" w:eastAsia="Times New Roman" w:hAnsi="Times New Roman" w:cs="Times New Roman"/>
        </w:rPr>
        <w:lastRenderedPageBreak/>
        <w:t>Hart, D</w:t>
      </w:r>
      <w:r w:rsidRPr="00A36982">
        <w:rPr>
          <w:rFonts w:ascii="Times New Roman" w:eastAsia="Times New Roman" w:hAnsi="Times New Roman" w:cs="Times New Roman"/>
        </w:rPr>
        <w:t xml:space="preserve">M. </w:t>
      </w:r>
      <w:r>
        <w:rPr>
          <w:rFonts w:ascii="Times New Roman" w:eastAsia="Times New Roman" w:hAnsi="Times New Roman" w:cs="Times New Roman"/>
        </w:rPr>
        <w:t>(</w:t>
      </w:r>
      <w:r w:rsidRPr="00A36982">
        <w:rPr>
          <w:rFonts w:ascii="Times New Roman" w:eastAsia="Times New Roman" w:hAnsi="Times New Roman" w:cs="Times New Roman"/>
        </w:rPr>
        <w:t>2001</w:t>
      </w:r>
      <w:r>
        <w:rPr>
          <w:rFonts w:ascii="Times New Roman" w:eastAsia="Times New Roman" w:hAnsi="Times New Roman" w:cs="Times New Roman"/>
        </w:rPr>
        <w:t>) ‘Why do some firms give? Why do some give a lot?: High-tech PACs, 1977–1996’,</w:t>
      </w:r>
      <w:r w:rsidRPr="00A36982">
        <w:rPr>
          <w:rFonts w:ascii="Times New Roman" w:eastAsia="Times New Roman" w:hAnsi="Times New Roman" w:cs="Times New Roman"/>
        </w:rPr>
        <w:t xml:space="preserve"> </w:t>
      </w:r>
      <w:r w:rsidRPr="00EF1864">
        <w:rPr>
          <w:rFonts w:ascii="Times New Roman" w:eastAsia="Times New Roman" w:hAnsi="Times New Roman" w:cs="Times New Roman"/>
          <w:i/>
        </w:rPr>
        <w:t>The Journal of Politics</w:t>
      </w:r>
      <w:r>
        <w:rPr>
          <w:rFonts w:ascii="Times New Roman" w:eastAsia="Times New Roman" w:hAnsi="Times New Roman" w:cs="Times New Roman"/>
          <w:i/>
        </w:rPr>
        <w:t>,</w:t>
      </w:r>
      <w:r w:rsidRPr="00A36982">
        <w:rPr>
          <w:rFonts w:ascii="Times New Roman" w:eastAsia="Times New Roman" w:hAnsi="Times New Roman" w:cs="Times New Roman"/>
        </w:rPr>
        <w:t xml:space="preserve"> 63(0</w:t>
      </w:r>
      <w:r>
        <w:rPr>
          <w:rFonts w:ascii="Times New Roman" w:eastAsia="Times New Roman" w:hAnsi="Times New Roman" w:cs="Times New Roman"/>
        </w:rPr>
        <w:t>4),</w:t>
      </w:r>
      <w:r w:rsidRPr="00A36982">
        <w:rPr>
          <w:rFonts w:ascii="Times New Roman" w:eastAsia="Times New Roman" w:hAnsi="Times New Roman" w:cs="Times New Roman"/>
        </w:rPr>
        <w:t xml:space="preserve"> 1230–1249.</w:t>
      </w:r>
    </w:p>
    <w:p w14:paraId="0237721F" w14:textId="77777777" w:rsidR="00E27697" w:rsidRPr="00A36982" w:rsidRDefault="00E27697" w:rsidP="00E27697">
      <w:pPr>
        <w:rPr>
          <w:rFonts w:ascii="Times New Roman" w:hAnsi="Times New Roman" w:cs="Times New Roman"/>
        </w:rPr>
      </w:pPr>
    </w:p>
    <w:p w14:paraId="3C33359D" w14:textId="05E8B4AF" w:rsidR="00E27697" w:rsidRPr="00A36982" w:rsidRDefault="00E27697" w:rsidP="00E27697">
      <w:pPr>
        <w:rPr>
          <w:rFonts w:ascii="Times New Roman" w:eastAsia="Times New Roman" w:hAnsi="Times New Roman" w:cs="Times New Roman"/>
        </w:rPr>
      </w:pPr>
      <w:r>
        <w:rPr>
          <w:rFonts w:ascii="Times New Roman" w:eastAsia="Times New Roman" w:hAnsi="Times New Roman" w:cs="Times New Roman"/>
        </w:rPr>
        <w:t>Hillman, AJ, Zarkhoodi, A</w:t>
      </w:r>
      <w:r w:rsidRPr="00A36982">
        <w:rPr>
          <w:rFonts w:ascii="Times New Roman" w:eastAsia="Times New Roman" w:hAnsi="Times New Roman" w:cs="Times New Roman"/>
        </w:rPr>
        <w:t xml:space="preserve">, and Bierman, L. (1999). </w:t>
      </w:r>
      <w:r>
        <w:rPr>
          <w:rFonts w:ascii="Times New Roman" w:eastAsia="Times New Roman" w:hAnsi="Times New Roman" w:cs="Times New Roman"/>
        </w:rPr>
        <w:t>‘</w:t>
      </w:r>
      <w:r w:rsidRPr="00A36982">
        <w:rPr>
          <w:rFonts w:ascii="Times New Roman" w:eastAsia="Times New Roman" w:hAnsi="Times New Roman" w:cs="Times New Roman"/>
        </w:rPr>
        <w:t>Corporate political strategies and firm performance: indications of firm-specific benefits fro</w:t>
      </w:r>
      <w:r>
        <w:rPr>
          <w:rFonts w:ascii="Times New Roman" w:eastAsia="Times New Roman" w:hAnsi="Times New Roman" w:cs="Times New Roman"/>
        </w:rPr>
        <w:t>m personal service in the U.S. g</w:t>
      </w:r>
      <w:r w:rsidRPr="00A36982">
        <w:rPr>
          <w:rFonts w:ascii="Times New Roman" w:eastAsia="Times New Roman" w:hAnsi="Times New Roman" w:cs="Times New Roman"/>
        </w:rPr>
        <w:t>overnment</w:t>
      </w:r>
      <w:r>
        <w:rPr>
          <w:rFonts w:ascii="Times New Roman" w:eastAsia="Times New Roman" w:hAnsi="Times New Roman" w:cs="Times New Roman"/>
        </w:rPr>
        <w:t>’,</w:t>
      </w:r>
      <w:r w:rsidRPr="00A36982">
        <w:rPr>
          <w:rFonts w:ascii="Times New Roman" w:eastAsia="Times New Roman" w:hAnsi="Times New Roman" w:cs="Times New Roman"/>
        </w:rPr>
        <w:t xml:space="preserve"> </w:t>
      </w:r>
      <w:r w:rsidRPr="00EF1864">
        <w:rPr>
          <w:rFonts w:ascii="Times New Roman" w:eastAsia="Times New Roman" w:hAnsi="Times New Roman" w:cs="Times New Roman"/>
          <w:i/>
        </w:rPr>
        <w:t>Strategic Management Journal</w:t>
      </w:r>
      <w:r w:rsidRPr="00A36982">
        <w:rPr>
          <w:rFonts w:ascii="Times New Roman" w:eastAsia="Times New Roman" w:hAnsi="Times New Roman" w:cs="Times New Roman"/>
        </w:rPr>
        <w:t>, 20, 67-81.</w:t>
      </w:r>
    </w:p>
    <w:p w14:paraId="392AB801" w14:textId="16A49EEC" w:rsidR="00B301D8" w:rsidRPr="00B301D8" w:rsidRDefault="00B301D8" w:rsidP="00B301D8">
      <w:pPr>
        <w:pStyle w:val="NormalWeb"/>
        <w:rPr>
          <w:rFonts w:eastAsia="Times New Roman"/>
        </w:rPr>
      </w:pPr>
      <w:r w:rsidRPr="00B301D8">
        <w:rPr>
          <w:rFonts w:eastAsia="Times New Roman"/>
        </w:rPr>
        <w:t>Jensen,</w:t>
      </w:r>
      <w:r>
        <w:rPr>
          <w:rFonts w:eastAsia="Times New Roman"/>
        </w:rPr>
        <w:t xml:space="preserve"> K., Forsythe, M., and Salant, J.</w:t>
      </w:r>
      <w:r w:rsidRPr="00B301D8">
        <w:rPr>
          <w:rFonts w:eastAsia="Times New Roman"/>
        </w:rPr>
        <w:t xml:space="preserve">D. </w:t>
      </w:r>
      <w:r>
        <w:rPr>
          <w:rFonts w:eastAsia="Times New Roman"/>
        </w:rPr>
        <w:t>(</w:t>
      </w:r>
      <w:r w:rsidRPr="00B301D8">
        <w:rPr>
          <w:rFonts w:eastAsia="Times New Roman"/>
        </w:rPr>
        <w:t>2005</w:t>
      </w:r>
      <w:r>
        <w:rPr>
          <w:rFonts w:eastAsia="Times New Roman"/>
        </w:rPr>
        <w:t>)</w:t>
      </w:r>
      <w:r w:rsidRPr="00B301D8">
        <w:rPr>
          <w:rFonts w:eastAsia="Times New Roman"/>
        </w:rPr>
        <w:t xml:space="preserve">. Hedge funds hire lobbyists for inside tips on U.S. legislation. New York, NY: Bloomberg News. </w:t>
      </w:r>
    </w:p>
    <w:p w14:paraId="139C9EF4" w14:textId="77777777" w:rsidR="00E27697" w:rsidRPr="00A36982" w:rsidRDefault="00E27697" w:rsidP="00E27697">
      <w:pPr>
        <w:rPr>
          <w:rFonts w:ascii="Times New Roman" w:eastAsia="Times New Roman" w:hAnsi="Times New Roman" w:cs="Times New Roman"/>
        </w:rPr>
      </w:pPr>
      <w:r w:rsidRPr="00A36982">
        <w:rPr>
          <w:rFonts w:ascii="Times New Roman" w:eastAsia="Times New Roman" w:hAnsi="Times New Roman" w:cs="Times New Roman"/>
        </w:rPr>
        <w:t xml:space="preserve">Johnson, V. </w:t>
      </w:r>
      <w:r>
        <w:rPr>
          <w:rFonts w:ascii="Times New Roman" w:eastAsia="Times New Roman" w:hAnsi="Times New Roman" w:cs="Times New Roman"/>
        </w:rPr>
        <w:t>(</w:t>
      </w:r>
      <w:r w:rsidRPr="00A36982">
        <w:rPr>
          <w:rFonts w:ascii="Times New Roman" w:eastAsia="Times New Roman" w:hAnsi="Times New Roman" w:cs="Times New Roman"/>
        </w:rPr>
        <w:t>2007</w:t>
      </w:r>
      <w:r>
        <w:rPr>
          <w:rFonts w:ascii="Times New Roman" w:eastAsia="Times New Roman" w:hAnsi="Times New Roman" w:cs="Times New Roman"/>
        </w:rPr>
        <w:t>). ‘What is organizational imprinting? Cultural entrepreneurship in the f</w:t>
      </w:r>
      <w:r w:rsidRPr="00A36982">
        <w:rPr>
          <w:rFonts w:ascii="Times New Roman" w:eastAsia="Times New Roman" w:hAnsi="Times New Roman" w:cs="Times New Roman"/>
        </w:rPr>
        <w:t>ounding of the Paris Opera</w:t>
      </w:r>
      <w:r>
        <w:rPr>
          <w:rFonts w:ascii="Times New Roman" w:eastAsia="Times New Roman" w:hAnsi="Times New Roman" w:cs="Times New Roman"/>
        </w:rPr>
        <w:t xml:space="preserve">’, </w:t>
      </w:r>
      <w:r w:rsidRPr="00EF1864">
        <w:rPr>
          <w:rFonts w:ascii="Times New Roman" w:eastAsia="Times New Roman" w:hAnsi="Times New Roman" w:cs="Times New Roman"/>
          <w:i/>
        </w:rPr>
        <w:t>American Journal of Sociology</w:t>
      </w:r>
      <w:r>
        <w:rPr>
          <w:rFonts w:ascii="Times New Roman" w:eastAsia="Times New Roman" w:hAnsi="Times New Roman" w:cs="Times New Roman"/>
        </w:rPr>
        <w:t xml:space="preserve">, 113(1), </w:t>
      </w:r>
      <w:r w:rsidRPr="00A36982">
        <w:rPr>
          <w:rFonts w:ascii="Times New Roman" w:eastAsia="Times New Roman" w:hAnsi="Times New Roman" w:cs="Times New Roman"/>
        </w:rPr>
        <w:t xml:space="preserve">97-127. </w:t>
      </w:r>
    </w:p>
    <w:p w14:paraId="7A8AC516" w14:textId="77777777" w:rsidR="00E27697" w:rsidRPr="00A36982" w:rsidRDefault="00E27697" w:rsidP="00E27697">
      <w:pPr>
        <w:rPr>
          <w:rFonts w:ascii="Times New Roman" w:hAnsi="Times New Roman" w:cs="Times New Roman"/>
        </w:rPr>
      </w:pPr>
    </w:p>
    <w:p w14:paraId="38B7E404" w14:textId="77777777" w:rsidR="00E27697" w:rsidRPr="00A36982" w:rsidRDefault="00E27697" w:rsidP="00E27697">
      <w:pPr>
        <w:rPr>
          <w:rFonts w:ascii="Times New Roman" w:eastAsia="Times New Roman" w:hAnsi="Times New Roman" w:cs="Times New Roman"/>
        </w:rPr>
      </w:pPr>
      <w:r>
        <w:rPr>
          <w:rFonts w:ascii="Times New Roman" w:eastAsia="Times New Roman" w:hAnsi="Times New Roman" w:cs="Times New Roman"/>
        </w:rPr>
        <w:t>Keim, G</w:t>
      </w:r>
      <w:r w:rsidRPr="00A36982">
        <w:rPr>
          <w:rFonts w:ascii="Times New Roman" w:eastAsia="Times New Roman" w:hAnsi="Times New Roman" w:cs="Times New Roman"/>
        </w:rPr>
        <w:t>D</w:t>
      </w:r>
      <w:r>
        <w:rPr>
          <w:rFonts w:ascii="Times New Roman" w:eastAsia="Times New Roman" w:hAnsi="Times New Roman" w:cs="Times New Roman"/>
        </w:rPr>
        <w:t xml:space="preserve"> and Zeithaml, CP. (1986) ‘</w:t>
      </w:r>
      <w:r w:rsidRPr="00A36982">
        <w:rPr>
          <w:rFonts w:ascii="Times New Roman" w:eastAsia="Times New Roman" w:hAnsi="Times New Roman" w:cs="Times New Roman"/>
        </w:rPr>
        <w:t>Corporate political strategy and legislative decision making: A review and contingency approach</w:t>
      </w:r>
      <w:r>
        <w:rPr>
          <w:rFonts w:ascii="Times New Roman" w:eastAsia="Times New Roman" w:hAnsi="Times New Roman" w:cs="Times New Roman"/>
        </w:rPr>
        <w:t xml:space="preserve">’, </w:t>
      </w:r>
      <w:r w:rsidRPr="00A569BE">
        <w:rPr>
          <w:rFonts w:ascii="Times New Roman" w:eastAsia="Times New Roman" w:hAnsi="Times New Roman" w:cs="Times New Roman"/>
          <w:i/>
        </w:rPr>
        <w:t>Academy Management Review</w:t>
      </w:r>
      <w:r w:rsidRPr="00A36982">
        <w:rPr>
          <w:rFonts w:ascii="Times New Roman" w:eastAsia="Times New Roman" w:hAnsi="Times New Roman" w:cs="Times New Roman"/>
        </w:rPr>
        <w:t>, 11, 828-843.</w:t>
      </w:r>
    </w:p>
    <w:p w14:paraId="01B32D39" w14:textId="77777777" w:rsidR="00E27697" w:rsidRPr="00A36982" w:rsidRDefault="00E27697" w:rsidP="00E27697">
      <w:pPr>
        <w:rPr>
          <w:rFonts w:ascii="Times New Roman" w:hAnsi="Times New Roman" w:cs="Times New Roman"/>
        </w:rPr>
      </w:pPr>
    </w:p>
    <w:p w14:paraId="51DA86EC" w14:textId="77777777" w:rsidR="00E27697" w:rsidRPr="00A36982" w:rsidRDefault="00E27697" w:rsidP="00E27697">
      <w:pPr>
        <w:rPr>
          <w:rFonts w:ascii="Times New Roman" w:eastAsia="Times New Roman" w:hAnsi="Times New Roman" w:cs="Times New Roman"/>
        </w:rPr>
      </w:pPr>
      <w:r>
        <w:rPr>
          <w:rFonts w:ascii="Times New Roman" w:eastAsia="Times New Roman" w:hAnsi="Times New Roman" w:cs="Times New Roman"/>
        </w:rPr>
        <w:t>Kortum, S</w:t>
      </w:r>
      <w:r w:rsidRPr="00A36982">
        <w:rPr>
          <w:rFonts w:ascii="Times New Roman" w:eastAsia="Times New Roman" w:hAnsi="Times New Roman" w:cs="Times New Roman"/>
        </w:rPr>
        <w:t xml:space="preserve"> and Lerner</w:t>
      </w:r>
      <w:r>
        <w:rPr>
          <w:rFonts w:ascii="Times New Roman" w:eastAsia="Times New Roman" w:hAnsi="Times New Roman" w:cs="Times New Roman"/>
        </w:rPr>
        <w:t>, J. (</w:t>
      </w:r>
      <w:r w:rsidRPr="00A36982">
        <w:rPr>
          <w:rFonts w:ascii="Times New Roman" w:eastAsia="Times New Roman" w:hAnsi="Times New Roman" w:cs="Times New Roman"/>
        </w:rPr>
        <w:t>2000</w:t>
      </w:r>
      <w:r>
        <w:rPr>
          <w:rFonts w:ascii="Times New Roman" w:eastAsia="Times New Roman" w:hAnsi="Times New Roman" w:cs="Times New Roman"/>
        </w:rPr>
        <w:t>). ‘Does venture capital spur innovation?’,</w:t>
      </w:r>
      <w:r w:rsidRPr="00A36982">
        <w:rPr>
          <w:rFonts w:ascii="Times New Roman" w:eastAsia="Times New Roman" w:hAnsi="Times New Roman" w:cs="Times New Roman"/>
        </w:rPr>
        <w:t xml:space="preserve"> </w:t>
      </w:r>
      <w:r w:rsidRPr="00A569BE">
        <w:rPr>
          <w:rFonts w:ascii="Times New Roman" w:eastAsia="Times New Roman" w:hAnsi="Times New Roman" w:cs="Times New Roman"/>
          <w:i/>
        </w:rPr>
        <w:t>Rand Journal of Economics</w:t>
      </w:r>
      <w:r>
        <w:rPr>
          <w:rFonts w:ascii="Times New Roman" w:eastAsia="Times New Roman" w:hAnsi="Times New Roman" w:cs="Times New Roman"/>
        </w:rPr>
        <w:t xml:space="preserve">,  31, </w:t>
      </w:r>
      <w:r w:rsidRPr="00A36982">
        <w:rPr>
          <w:rFonts w:ascii="Times New Roman" w:eastAsia="Times New Roman" w:hAnsi="Times New Roman" w:cs="Times New Roman"/>
        </w:rPr>
        <w:t xml:space="preserve">674-92. </w:t>
      </w:r>
    </w:p>
    <w:p w14:paraId="4776F3D0" w14:textId="77777777" w:rsidR="00E27697" w:rsidRPr="00A36982" w:rsidRDefault="00E27697" w:rsidP="00E27697">
      <w:pPr>
        <w:rPr>
          <w:rFonts w:ascii="Times New Roman" w:eastAsia="Times New Roman" w:hAnsi="Times New Roman" w:cs="Times New Roman"/>
        </w:rPr>
      </w:pPr>
    </w:p>
    <w:p w14:paraId="39744882" w14:textId="77777777" w:rsidR="00E27697" w:rsidRPr="000805DB" w:rsidRDefault="00E27697" w:rsidP="00E27697">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Lockhart, GB and </w:t>
      </w:r>
      <w:r w:rsidRPr="000805DB">
        <w:rPr>
          <w:rFonts w:ascii="Times New Roman" w:eastAsia="Times New Roman" w:hAnsi="Times New Roman" w:cs="Times New Roman"/>
          <w:color w:val="000000"/>
        </w:rPr>
        <w:t xml:space="preserve">Unlu, E. (2018). </w:t>
      </w:r>
      <w:r>
        <w:rPr>
          <w:rFonts w:ascii="Times New Roman" w:eastAsia="Times New Roman" w:hAnsi="Times New Roman" w:cs="Times New Roman"/>
          <w:color w:val="000000"/>
        </w:rPr>
        <w:t>‘</w:t>
      </w:r>
      <w:r w:rsidRPr="000805DB">
        <w:rPr>
          <w:rFonts w:ascii="Times New Roman" w:eastAsia="Times New Roman" w:hAnsi="Times New Roman" w:cs="Times New Roman"/>
          <w:color w:val="000000"/>
        </w:rPr>
        <w:t>Does corporate lobbying activity provide useful information to credit markets?</w:t>
      </w:r>
      <w:r>
        <w:rPr>
          <w:rFonts w:ascii="Times New Roman" w:eastAsia="Times New Roman" w:hAnsi="Times New Roman" w:cs="Times New Roman"/>
          <w:color w:val="000000"/>
        </w:rPr>
        <w:t>’,</w:t>
      </w:r>
      <w:r w:rsidRPr="000805DB">
        <w:rPr>
          <w:rFonts w:ascii="Times New Roman" w:eastAsia="Times New Roman" w:hAnsi="Times New Roman" w:cs="Times New Roman"/>
          <w:color w:val="000000"/>
        </w:rPr>
        <w:t> </w:t>
      </w:r>
      <w:r w:rsidRPr="000805DB">
        <w:rPr>
          <w:rFonts w:ascii="Times New Roman" w:eastAsia="Times New Roman" w:hAnsi="Times New Roman" w:cs="Times New Roman"/>
          <w:i/>
          <w:iCs/>
          <w:color w:val="000000"/>
        </w:rPr>
        <w:t>Journal of Corporate Finance</w:t>
      </w:r>
      <w:r w:rsidRPr="000805DB">
        <w:rPr>
          <w:rFonts w:ascii="Times New Roman" w:eastAsia="Times New Roman" w:hAnsi="Times New Roman" w:cs="Times New Roman"/>
          <w:color w:val="000000"/>
        </w:rPr>
        <w:t>, </w:t>
      </w:r>
      <w:r w:rsidRPr="000805DB">
        <w:rPr>
          <w:rFonts w:ascii="Times New Roman" w:eastAsia="Times New Roman" w:hAnsi="Times New Roman" w:cs="Times New Roman"/>
          <w:i/>
          <w:iCs/>
          <w:color w:val="000000"/>
        </w:rPr>
        <w:t>50</w:t>
      </w:r>
      <w:r w:rsidRPr="000805DB">
        <w:rPr>
          <w:rFonts w:ascii="Times New Roman" w:eastAsia="Times New Roman" w:hAnsi="Times New Roman" w:cs="Times New Roman"/>
          <w:color w:val="000000"/>
        </w:rPr>
        <w:t>, 128-157.</w:t>
      </w:r>
    </w:p>
    <w:p w14:paraId="3D0E63D1" w14:textId="77777777" w:rsidR="00E27697" w:rsidRPr="00A36982" w:rsidRDefault="00E27697" w:rsidP="00E27697">
      <w:pPr>
        <w:rPr>
          <w:rFonts w:ascii="Times New Roman" w:eastAsia="Times New Roman" w:hAnsi="Times New Roman" w:cs="Times New Roman"/>
        </w:rPr>
      </w:pPr>
    </w:p>
    <w:p w14:paraId="6C18126E" w14:textId="77777777" w:rsidR="00E27697" w:rsidRPr="00A36982" w:rsidRDefault="00E27697" w:rsidP="00E27697">
      <w:pPr>
        <w:rPr>
          <w:rFonts w:ascii="Times New Roman" w:eastAsia="Times New Roman" w:hAnsi="Times New Roman" w:cs="Times New Roman"/>
        </w:rPr>
      </w:pPr>
      <w:r>
        <w:rPr>
          <w:rFonts w:ascii="Times New Roman" w:eastAsia="Times New Roman" w:hAnsi="Times New Roman" w:cs="Times New Roman"/>
        </w:rPr>
        <w:t>Lux, S, Crook, T</w:t>
      </w:r>
      <w:r w:rsidRPr="00A36982">
        <w:rPr>
          <w:rFonts w:ascii="Times New Roman" w:eastAsia="Times New Roman" w:hAnsi="Times New Roman" w:cs="Times New Roman"/>
        </w:rPr>
        <w:t>R</w:t>
      </w:r>
      <w:r>
        <w:rPr>
          <w:rFonts w:ascii="Times New Roman" w:eastAsia="Times New Roman" w:hAnsi="Times New Roman" w:cs="Times New Roman"/>
        </w:rPr>
        <w:t>, and Woehr, D</w:t>
      </w:r>
      <w:r w:rsidRPr="00A36982">
        <w:rPr>
          <w:rFonts w:ascii="Times New Roman" w:eastAsia="Times New Roman" w:hAnsi="Times New Roman" w:cs="Times New Roman"/>
        </w:rPr>
        <w:t xml:space="preserve">J. (2011) </w:t>
      </w:r>
      <w:r>
        <w:rPr>
          <w:rFonts w:ascii="Times New Roman" w:eastAsia="Times New Roman" w:hAnsi="Times New Roman" w:cs="Times New Roman"/>
        </w:rPr>
        <w:t>‘</w:t>
      </w:r>
      <w:r w:rsidRPr="00A36982">
        <w:rPr>
          <w:rFonts w:ascii="Times New Roman" w:eastAsia="Times New Roman" w:hAnsi="Times New Roman" w:cs="Times New Roman"/>
        </w:rPr>
        <w:t>Mixing business with politics: A meta</w:t>
      </w:r>
      <w:r>
        <w:rPr>
          <w:rFonts w:ascii="Times New Roman" w:eastAsia="Times New Roman" w:hAnsi="Times New Roman" w:cs="Times New Roman"/>
        </w:rPr>
        <w:t xml:space="preserve"> </w:t>
      </w:r>
      <w:r w:rsidRPr="00A36982">
        <w:rPr>
          <w:rFonts w:ascii="Times New Roman" w:eastAsia="Times New Roman" w:hAnsi="Times New Roman" w:cs="Times New Roman"/>
        </w:rPr>
        <w:t>analysis of the antecedents and outcomes of corporate political activity</w:t>
      </w:r>
      <w:r>
        <w:rPr>
          <w:rFonts w:ascii="Times New Roman" w:eastAsia="Times New Roman" w:hAnsi="Times New Roman" w:cs="Times New Roman"/>
        </w:rPr>
        <w:t>’,</w:t>
      </w:r>
      <w:r w:rsidRPr="00A36982">
        <w:rPr>
          <w:rFonts w:ascii="Times New Roman" w:eastAsia="Times New Roman" w:hAnsi="Times New Roman" w:cs="Times New Roman"/>
        </w:rPr>
        <w:t xml:space="preserve"> </w:t>
      </w:r>
      <w:r w:rsidRPr="00A569BE">
        <w:rPr>
          <w:rFonts w:ascii="Times New Roman" w:eastAsia="Times New Roman" w:hAnsi="Times New Roman" w:cs="Times New Roman"/>
          <w:i/>
        </w:rPr>
        <w:t>Journal of Management</w:t>
      </w:r>
      <w:r w:rsidRPr="00A36982">
        <w:rPr>
          <w:rFonts w:ascii="Times New Roman" w:eastAsia="Times New Roman" w:hAnsi="Times New Roman" w:cs="Times New Roman"/>
        </w:rPr>
        <w:t>, 37, 223-247.</w:t>
      </w:r>
    </w:p>
    <w:p w14:paraId="7287E711" w14:textId="77777777" w:rsidR="00E27697" w:rsidRPr="00A36982" w:rsidRDefault="00E27697" w:rsidP="00E27697">
      <w:pPr>
        <w:rPr>
          <w:rFonts w:ascii="Times New Roman" w:eastAsia="Times New Roman" w:hAnsi="Times New Roman" w:cs="Times New Roman"/>
        </w:rPr>
      </w:pPr>
    </w:p>
    <w:p w14:paraId="62B86099" w14:textId="77777777" w:rsidR="00E27697" w:rsidRPr="00A36982" w:rsidRDefault="00E27697" w:rsidP="00E27697">
      <w:pPr>
        <w:rPr>
          <w:rFonts w:ascii="Times New Roman" w:eastAsia="Times New Roman" w:hAnsi="Times New Roman" w:cs="Times New Roman"/>
        </w:rPr>
      </w:pPr>
      <w:r>
        <w:rPr>
          <w:rFonts w:ascii="Times New Roman" w:eastAsia="Times New Roman" w:hAnsi="Times New Roman" w:cs="Times New Roman"/>
        </w:rPr>
        <w:t xml:space="preserve">Marquis, C and </w:t>
      </w:r>
      <w:r w:rsidRPr="00A36982">
        <w:rPr>
          <w:rFonts w:ascii="Times New Roman" w:eastAsia="Times New Roman" w:hAnsi="Times New Roman" w:cs="Times New Roman"/>
        </w:rPr>
        <w:t xml:space="preserve">Qian, C. </w:t>
      </w:r>
      <w:r>
        <w:rPr>
          <w:rFonts w:ascii="Times New Roman" w:eastAsia="Times New Roman" w:hAnsi="Times New Roman" w:cs="Times New Roman"/>
        </w:rPr>
        <w:t>(</w:t>
      </w:r>
      <w:r w:rsidRPr="00A36982">
        <w:rPr>
          <w:rFonts w:ascii="Times New Roman" w:eastAsia="Times New Roman" w:hAnsi="Times New Roman" w:cs="Times New Roman"/>
        </w:rPr>
        <w:t>2013</w:t>
      </w:r>
      <w:r>
        <w:rPr>
          <w:rFonts w:ascii="Times New Roman" w:eastAsia="Times New Roman" w:hAnsi="Times New Roman" w:cs="Times New Roman"/>
        </w:rPr>
        <w:t>). Corporate social responsibility reporting in China: Symbol or s</w:t>
      </w:r>
      <w:r w:rsidRPr="00A36982">
        <w:rPr>
          <w:rFonts w:ascii="Times New Roman" w:eastAsia="Times New Roman" w:hAnsi="Times New Roman" w:cs="Times New Roman"/>
        </w:rPr>
        <w:t>ubstance? Harvard Busine</w:t>
      </w:r>
      <w:r>
        <w:rPr>
          <w:rFonts w:ascii="Times New Roman" w:eastAsia="Times New Roman" w:hAnsi="Times New Roman" w:cs="Times New Roman"/>
        </w:rPr>
        <w:t xml:space="preserve">ss School Working Paper. </w:t>
      </w:r>
      <w:r w:rsidRPr="00A36982">
        <w:rPr>
          <w:rFonts w:ascii="Times New Roman" w:eastAsia="Times New Roman" w:hAnsi="Times New Roman" w:cs="Times New Roman"/>
        </w:rPr>
        <w:t xml:space="preserve"> </w:t>
      </w:r>
    </w:p>
    <w:p w14:paraId="565EBD4D" w14:textId="77777777" w:rsidR="00E27697" w:rsidRPr="00A36982" w:rsidRDefault="00E27697" w:rsidP="00E27697">
      <w:pPr>
        <w:rPr>
          <w:rFonts w:ascii="Times New Roman" w:eastAsia="Times New Roman" w:hAnsi="Times New Roman" w:cs="Times New Roman"/>
        </w:rPr>
      </w:pPr>
    </w:p>
    <w:p w14:paraId="0B910626" w14:textId="77777777" w:rsidR="00E27697" w:rsidRPr="00A36982" w:rsidRDefault="00E27697" w:rsidP="00E27697">
      <w:pPr>
        <w:rPr>
          <w:rFonts w:ascii="Times New Roman" w:eastAsia="Times New Roman" w:hAnsi="Times New Roman" w:cs="Times New Roman"/>
        </w:rPr>
      </w:pPr>
      <w:r>
        <w:rPr>
          <w:rFonts w:ascii="Times New Roman" w:eastAsia="Times New Roman" w:hAnsi="Times New Roman" w:cs="Times New Roman"/>
        </w:rPr>
        <w:t xml:space="preserve">Megginson, W </w:t>
      </w:r>
      <w:r w:rsidRPr="00A36982">
        <w:rPr>
          <w:rFonts w:ascii="Times New Roman" w:eastAsia="Times New Roman" w:hAnsi="Times New Roman" w:cs="Times New Roman"/>
        </w:rPr>
        <w:t>and Weiss</w:t>
      </w:r>
      <w:r>
        <w:rPr>
          <w:rFonts w:ascii="Times New Roman" w:eastAsia="Times New Roman" w:hAnsi="Times New Roman" w:cs="Times New Roman"/>
        </w:rPr>
        <w:t>, K</w:t>
      </w:r>
      <w:r w:rsidRPr="00A36982">
        <w:rPr>
          <w:rFonts w:ascii="Times New Roman" w:eastAsia="Times New Roman" w:hAnsi="Times New Roman" w:cs="Times New Roman"/>
        </w:rPr>
        <w:t xml:space="preserve">A. </w:t>
      </w:r>
      <w:r>
        <w:rPr>
          <w:rFonts w:ascii="Times New Roman" w:eastAsia="Times New Roman" w:hAnsi="Times New Roman" w:cs="Times New Roman"/>
        </w:rPr>
        <w:t xml:space="preserve"> (1991) </w:t>
      </w:r>
      <w:r w:rsidRPr="00A36982">
        <w:rPr>
          <w:rFonts w:ascii="Times New Roman" w:eastAsia="Times New Roman" w:hAnsi="Times New Roman" w:cs="Times New Roman"/>
        </w:rPr>
        <w:t>ʻVenture capitalist certificat</w:t>
      </w:r>
      <w:r>
        <w:rPr>
          <w:rFonts w:ascii="Times New Roman" w:eastAsia="Times New Roman" w:hAnsi="Times New Roman" w:cs="Times New Roman"/>
        </w:rPr>
        <w:t>ion in initial public offerings</w:t>
      </w:r>
      <w:r w:rsidRPr="00A36982">
        <w:rPr>
          <w:rFonts w:ascii="Times New Roman" w:eastAsia="Times New Roman" w:hAnsi="Times New Roman" w:cs="Times New Roman"/>
        </w:rPr>
        <w:t>ʼ</w:t>
      </w:r>
      <w:r>
        <w:rPr>
          <w:rFonts w:ascii="Times New Roman" w:eastAsia="Times New Roman" w:hAnsi="Times New Roman" w:cs="Times New Roman"/>
        </w:rPr>
        <w:t xml:space="preserve">, </w:t>
      </w:r>
      <w:r w:rsidRPr="00A569BE">
        <w:rPr>
          <w:rFonts w:ascii="Times New Roman" w:eastAsia="Times New Roman" w:hAnsi="Times New Roman" w:cs="Times New Roman"/>
          <w:i/>
        </w:rPr>
        <w:t>The Journal of Finance</w:t>
      </w:r>
      <w:r w:rsidRPr="00A36982">
        <w:rPr>
          <w:rFonts w:ascii="Times New Roman" w:eastAsia="Times New Roman" w:hAnsi="Times New Roman" w:cs="Times New Roman"/>
        </w:rPr>
        <w:t>, 46, 879-903.</w:t>
      </w:r>
    </w:p>
    <w:p w14:paraId="55A584BE" w14:textId="77777777" w:rsidR="00E27697" w:rsidRPr="00A36982" w:rsidRDefault="00E27697" w:rsidP="00E27697">
      <w:pPr>
        <w:rPr>
          <w:rFonts w:ascii="Times New Roman" w:eastAsia="Times New Roman" w:hAnsi="Times New Roman" w:cs="Times New Roman"/>
        </w:rPr>
      </w:pPr>
    </w:p>
    <w:p w14:paraId="49E25BEB" w14:textId="77777777" w:rsidR="00E27697" w:rsidRPr="003D4709" w:rsidRDefault="00E27697" w:rsidP="00E27697">
      <w:pPr>
        <w:rPr>
          <w:rFonts w:ascii="Times New Roman" w:eastAsia="Times New Roman" w:hAnsi="Times New Roman" w:cs="Times New Roman"/>
        </w:rPr>
      </w:pPr>
      <w:r>
        <w:rPr>
          <w:rFonts w:ascii="Times New Roman" w:eastAsia="Times New Roman" w:hAnsi="Times New Roman" w:cs="Times New Roman"/>
        </w:rPr>
        <w:t>Mellahi, K, Frynas, JG, Sun, P</w:t>
      </w:r>
      <w:r w:rsidRPr="003D4709">
        <w:rPr>
          <w:rFonts w:ascii="Times New Roman" w:eastAsia="Times New Roman" w:hAnsi="Times New Roman" w:cs="Times New Roman"/>
        </w:rPr>
        <w:t xml:space="preserve">, and Siegel, D. </w:t>
      </w:r>
      <w:r>
        <w:rPr>
          <w:rFonts w:ascii="Times New Roman" w:eastAsia="Times New Roman" w:hAnsi="Times New Roman" w:cs="Times New Roman"/>
        </w:rPr>
        <w:t>(</w:t>
      </w:r>
      <w:r w:rsidRPr="003D4709">
        <w:rPr>
          <w:rFonts w:ascii="Times New Roman" w:eastAsia="Times New Roman" w:hAnsi="Times New Roman" w:cs="Times New Roman"/>
        </w:rPr>
        <w:t>2016</w:t>
      </w:r>
      <w:r>
        <w:rPr>
          <w:rFonts w:ascii="Times New Roman" w:eastAsia="Times New Roman" w:hAnsi="Times New Roman" w:cs="Times New Roman"/>
        </w:rPr>
        <w:t>)</w:t>
      </w:r>
      <w:r w:rsidRPr="003D4709">
        <w:rPr>
          <w:rFonts w:ascii="Times New Roman" w:eastAsia="Times New Roman" w:hAnsi="Times New Roman" w:cs="Times New Roman"/>
        </w:rPr>
        <w:t xml:space="preserve">. </w:t>
      </w:r>
      <w:r>
        <w:rPr>
          <w:rFonts w:ascii="Times New Roman" w:eastAsia="Times New Roman" w:hAnsi="Times New Roman" w:cs="Times New Roman"/>
        </w:rPr>
        <w:t>‘</w:t>
      </w:r>
      <w:r w:rsidRPr="003D4709">
        <w:rPr>
          <w:rFonts w:ascii="Times New Roman" w:eastAsia="Times New Roman" w:hAnsi="Times New Roman" w:cs="Times New Roman"/>
        </w:rPr>
        <w:t>A Review of the nonmarket strategy literature: Toward a multi-theoretical integration</w:t>
      </w:r>
      <w:r>
        <w:rPr>
          <w:rFonts w:ascii="Times New Roman" w:eastAsia="Times New Roman" w:hAnsi="Times New Roman" w:cs="Times New Roman"/>
        </w:rPr>
        <w:t>’</w:t>
      </w:r>
      <w:r w:rsidRPr="003D4709">
        <w:rPr>
          <w:rFonts w:ascii="Times New Roman" w:eastAsia="Times New Roman" w:hAnsi="Times New Roman" w:cs="Times New Roman"/>
        </w:rPr>
        <w:t xml:space="preserve">. </w:t>
      </w:r>
      <w:r w:rsidRPr="003D4709">
        <w:rPr>
          <w:rFonts w:ascii="Times New Roman" w:eastAsia="Times New Roman" w:hAnsi="Times New Roman" w:cs="Times New Roman"/>
          <w:i/>
        </w:rPr>
        <w:t>Journal of Management</w:t>
      </w:r>
      <w:r w:rsidRPr="003D4709">
        <w:rPr>
          <w:rFonts w:ascii="Times New Roman" w:eastAsia="Times New Roman" w:hAnsi="Times New Roman" w:cs="Times New Roman"/>
        </w:rPr>
        <w:t>, 42(1), 143–173.</w:t>
      </w:r>
    </w:p>
    <w:p w14:paraId="0BED199F" w14:textId="77777777" w:rsidR="00E27697" w:rsidRPr="00A36982" w:rsidRDefault="00E27697" w:rsidP="00E27697">
      <w:pPr>
        <w:rPr>
          <w:rFonts w:ascii="Times New Roman" w:eastAsia="Times New Roman" w:hAnsi="Times New Roman" w:cs="Times New Roman"/>
        </w:rPr>
      </w:pPr>
    </w:p>
    <w:p w14:paraId="21FC94AC" w14:textId="77777777" w:rsidR="00E27697" w:rsidRPr="00A36982" w:rsidRDefault="00E27697" w:rsidP="00E27697">
      <w:pPr>
        <w:rPr>
          <w:rFonts w:ascii="Times New Roman" w:eastAsia="Times New Roman" w:hAnsi="Times New Roman" w:cs="Times New Roman"/>
        </w:rPr>
      </w:pPr>
      <w:r>
        <w:rPr>
          <w:rFonts w:ascii="Times New Roman" w:eastAsia="Times New Roman" w:hAnsi="Times New Roman" w:cs="Times New Roman"/>
        </w:rPr>
        <w:t>Min, G and You, H</w:t>
      </w:r>
      <w:r w:rsidRPr="00A36982">
        <w:rPr>
          <w:rFonts w:ascii="Times New Roman" w:eastAsia="Times New Roman" w:hAnsi="Times New Roman" w:cs="Times New Roman"/>
        </w:rPr>
        <w:t xml:space="preserve">Y. </w:t>
      </w:r>
      <w:r>
        <w:rPr>
          <w:rFonts w:ascii="Times New Roman" w:eastAsia="Times New Roman" w:hAnsi="Times New Roman" w:cs="Times New Roman"/>
        </w:rPr>
        <w:t>(</w:t>
      </w:r>
      <w:r w:rsidRPr="00A36982">
        <w:rPr>
          <w:rFonts w:ascii="Times New Roman" w:eastAsia="Times New Roman" w:hAnsi="Times New Roman" w:cs="Times New Roman"/>
        </w:rPr>
        <w:t>2018</w:t>
      </w:r>
      <w:r>
        <w:rPr>
          <w:rFonts w:ascii="Times New Roman" w:eastAsia="Times New Roman" w:hAnsi="Times New Roman" w:cs="Times New Roman"/>
        </w:rPr>
        <w:t>)</w:t>
      </w:r>
      <w:r w:rsidRPr="00A36982">
        <w:rPr>
          <w:rFonts w:ascii="Times New Roman" w:eastAsia="Times New Roman" w:hAnsi="Times New Roman" w:cs="Times New Roman"/>
        </w:rPr>
        <w:t xml:space="preserve">. </w:t>
      </w:r>
      <w:r>
        <w:rPr>
          <w:rFonts w:ascii="Times New Roman" w:eastAsia="Times New Roman" w:hAnsi="Times New Roman" w:cs="Times New Roman"/>
        </w:rPr>
        <w:t xml:space="preserve">‘Active firms and active shareholders: Corporate political activity and shareholder proposals’, </w:t>
      </w:r>
      <w:r w:rsidRPr="00A569BE">
        <w:rPr>
          <w:rFonts w:ascii="Times New Roman" w:eastAsia="MS Mincho" w:hAnsi="Times New Roman" w:cs="Times New Roman"/>
          <w:i/>
        </w:rPr>
        <w:t>Journal of Legal Studies</w:t>
      </w:r>
      <w:r w:rsidRPr="00A36982">
        <w:rPr>
          <w:rFonts w:ascii="Times New Roman" w:eastAsia="MS Mincho" w:hAnsi="Times New Roman" w:cs="Times New Roman"/>
        </w:rPr>
        <w:t xml:space="preserve">, Forthcoming. </w:t>
      </w:r>
    </w:p>
    <w:p w14:paraId="71E04EE4" w14:textId="77777777" w:rsidR="00E27697" w:rsidRPr="00A36982" w:rsidRDefault="00E27697" w:rsidP="00E27697">
      <w:pPr>
        <w:rPr>
          <w:rFonts w:ascii="Times New Roman" w:hAnsi="Times New Roman" w:cs="Times New Roman"/>
        </w:rPr>
      </w:pPr>
    </w:p>
    <w:p w14:paraId="453F7AD0" w14:textId="77777777" w:rsidR="00E27697" w:rsidRPr="00A36982" w:rsidRDefault="00E27697" w:rsidP="00E27697">
      <w:pPr>
        <w:rPr>
          <w:rFonts w:ascii="Times New Roman" w:eastAsia="Times New Roman" w:hAnsi="Times New Roman" w:cs="Times New Roman"/>
        </w:rPr>
      </w:pPr>
      <w:r w:rsidRPr="00A36982">
        <w:rPr>
          <w:rFonts w:ascii="Times New Roman" w:eastAsia="Times New Roman" w:hAnsi="Times New Roman" w:cs="Times New Roman"/>
        </w:rPr>
        <w:t xml:space="preserve">Oliver, C and Holzinger, I. (2008). </w:t>
      </w:r>
      <w:r>
        <w:rPr>
          <w:rFonts w:ascii="Times New Roman" w:eastAsia="Times New Roman" w:hAnsi="Times New Roman" w:cs="Times New Roman"/>
        </w:rPr>
        <w:t>‘</w:t>
      </w:r>
      <w:r w:rsidRPr="00A36982">
        <w:rPr>
          <w:rFonts w:ascii="Times New Roman" w:eastAsia="Times New Roman" w:hAnsi="Times New Roman" w:cs="Times New Roman"/>
        </w:rPr>
        <w:t xml:space="preserve">The effectiveness of strategic political management: A </w:t>
      </w:r>
      <w:r>
        <w:rPr>
          <w:rFonts w:ascii="Times New Roman" w:eastAsia="Times New Roman" w:hAnsi="Times New Roman" w:cs="Times New Roman"/>
        </w:rPr>
        <w:t xml:space="preserve">dynamic capabilities framework’, </w:t>
      </w:r>
      <w:r w:rsidRPr="00A569BE">
        <w:rPr>
          <w:rFonts w:ascii="Times New Roman" w:eastAsia="Times New Roman" w:hAnsi="Times New Roman" w:cs="Times New Roman"/>
          <w:i/>
        </w:rPr>
        <w:t>Academy of Management Review</w:t>
      </w:r>
      <w:r>
        <w:rPr>
          <w:rFonts w:ascii="Times New Roman" w:eastAsia="Times New Roman" w:hAnsi="Times New Roman" w:cs="Times New Roman"/>
        </w:rPr>
        <w:t xml:space="preserve">, </w:t>
      </w:r>
      <w:r w:rsidRPr="00A36982">
        <w:rPr>
          <w:rFonts w:ascii="Times New Roman" w:eastAsia="Times New Roman" w:hAnsi="Times New Roman" w:cs="Times New Roman"/>
        </w:rPr>
        <w:t>33, 496-520.</w:t>
      </w:r>
    </w:p>
    <w:p w14:paraId="2F574C50" w14:textId="77777777" w:rsidR="00E27697" w:rsidRPr="00A36982" w:rsidRDefault="00E27697" w:rsidP="00E27697">
      <w:pPr>
        <w:rPr>
          <w:rFonts w:ascii="Times New Roman" w:eastAsia="Times New Roman" w:hAnsi="Times New Roman" w:cs="Times New Roman"/>
        </w:rPr>
      </w:pPr>
    </w:p>
    <w:p w14:paraId="43176F3B" w14:textId="77777777" w:rsidR="00E27697" w:rsidRPr="00A36982" w:rsidRDefault="00E27697" w:rsidP="00E27697">
      <w:pPr>
        <w:rPr>
          <w:rFonts w:ascii="Times New Roman" w:eastAsia="Times New Roman" w:hAnsi="Times New Roman" w:cs="Times New Roman"/>
        </w:rPr>
      </w:pPr>
      <w:r>
        <w:rPr>
          <w:rFonts w:ascii="Times New Roman" w:eastAsia="Times New Roman" w:hAnsi="Times New Roman" w:cs="Times New Roman"/>
        </w:rPr>
        <w:t xml:space="preserve">Ozer, M </w:t>
      </w:r>
      <w:r w:rsidRPr="00A36982">
        <w:rPr>
          <w:rFonts w:ascii="Times New Roman" w:eastAsia="Times New Roman" w:hAnsi="Times New Roman" w:cs="Times New Roman"/>
        </w:rPr>
        <w:t>and Alakent</w:t>
      </w:r>
      <w:r>
        <w:rPr>
          <w:rFonts w:ascii="Times New Roman" w:eastAsia="Times New Roman" w:hAnsi="Times New Roman" w:cs="Times New Roman"/>
        </w:rPr>
        <w:t>, E</w:t>
      </w:r>
      <w:r w:rsidRPr="00A36982">
        <w:rPr>
          <w:rFonts w:ascii="Times New Roman" w:eastAsia="Times New Roman" w:hAnsi="Times New Roman" w:cs="Times New Roman"/>
        </w:rPr>
        <w:t xml:space="preserve">. </w:t>
      </w:r>
      <w:r>
        <w:rPr>
          <w:rFonts w:ascii="Times New Roman" w:eastAsia="Times New Roman" w:hAnsi="Times New Roman" w:cs="Times New Roman"/>
        </w:rPr>
        <w:t>(</w:t>
      </w:r>
      <w:r w:rsidRPr="00A36982">
        <w:rPr>
          <w:rFonts w:ascii="Times New Roman" w:eastAsia="Times New Roman" w:hAnsi="Times New Roman" w:cs="Times New Roman"/>
        </w:rPr>
        <w:t>2013</w:t>
      </w:r>
      <w:r>
        <w:rPr>
          <w:rFonts w:ascii="Times New Roman" w:eastAsia="Times New Roman" w:hAnsi="Times New Roman" w:cs="Times New Roman"/>
        </w:rPr>
        <w:t>). ‘The influence of ownership structure on how firms make corporate political strategy choices’,</w:t>
      </w:r>
      <w:r w:rsidRPr="00A36982">
        <w:rPr>
          <w:rFonts w:ascii="Times New Roman" w:eastAsia="Times New Roman" w:hAnsi="Times New Roman" w:cs="Times New Roman"/>
        </w:rPr>
        <w:t xml:space="preserve"> </w:t>
      </w:r>
      <w:r w:rsidRPr="00A569BE">
        <w:rPr>
          <w:rFonts w:ascii="Times New Roman" w:eastAsia="Times New Roman" w:hAnsi="Times New Roman" w:cs="Times New Roman"/>
          <w:i/>
        </w:rPr>
        <w:t xml:space="preserve">Business </w:t>
      </w:r>
      <w:r>
        <w:rPr>
          <w:rFonts w:ascii="Times New Roman" w:eastAsia="Times New Roman" w:hAnsi="Times New Roman" w:cs="Times New Roman"/>
          <w:i/>
        </w:rPr>
        <w:t>&amp;</w:t>
      </w:r>
      <w:r w:rsidRPr="00A569BE">
        <w:rPr>
          <w:rFonts w:ascii="Times New Roman" w:eastAsia="Times New Roman" w:hAnsi="Times New Roman" w:cs="Times New Roman"/>
          <w:i/>
        </w:rPr>
        <w:t xml:space="preserve"> Society</w:t>
      </w:r>
      <w:r>
        <w:rPr>
          <w:rFonts w:ascii="Times New Roman" w:eastAsia="Times New Roman" w:hAnsi="Times New Roman" w:cs="Times New Roman"/>
          <w:i/>
        </w:rPr>
        <w:t>,</w:t>
      </w:r>
      <w:r>
        <w:rPr>
          <w:rFonts w:ascii="Times New Roman" w:eastAsia="Times New Roman" w:hAnsi="Times New Roman" w:cs="Times New Roman"/>
        </w:rPr>
        <w:t xml:space="preserve"> 52, </w:t>
      </w:r>
      <w:r w:rsidRPr="00A36982">
        <w:rPr>
          <w:rFonts w:ascii="Times New Roman" w:eastAsia="Times New Roman" w:hAnsi="Times New Roman" w:cs="Times New Roman"/>
        </w:rPr>
        <w:t>451–</w:t>
      </w:r>
      <w:r>
        <w:rPr>
          <w:rFonts w:ascii="Times New Roman" w:eastAsia="Times New Roman" w:hAnsi="Times New Roman" w:cs="Times New Roman"/>
        </w:rPr>
        <w:t>4</w:t>
      </w:r>
      <w:r w:rsidRPr="00A36982">
        <w:rPr>
          <w:rFonts w:ascii="Times New Roman" w:eastAsia="Times New Roman" w:hAnsi="Times New Roman" w:cs="Times New Roman"/>
        </w:rPr>
        <w:t>72.</w:t>
      </w:r>
    </w:p>
    <w:p w14:paraId="7512FFED" w14:textId="77777777" w:rsidR="00E27697" w:rsidRPr="00A36982" w:rsidRDefault="00E27697" w:rsidP="00E27697">
      <w:pPr>
        <w:rPr>
          <w:rFonts w:ascii="Times New Roman" w:hAnsi="Times New Roman" w:cs="Times New Roman"/>
        </w:rPr>
      </w:pPr>
    </w:p>
    <w:p w14:paraId="74F10A99" w14:textId="77777777" w:rsidR="00E27697" w:rsidRPr="00A36982" w:rsidRDefault="00E27697" w:rsidP="00E27697">
      <w:pPr>
        <w:rPr>
          <w:rFonts w:ascii="Times New Roman" w:eastAsia="Times New Roman" w:hAnsi="Times New Roman" w:cs="Times New Roman"/>
        </w:rPr>
      </w:pPr>
      <w:r>
        <w:rPr>
          <w:rFonts w:ascii="Times New Roman" w:eastAsia="Times New Roman" w:hAnsi="Times New Roman" w:cs="Times New Roman"/>
        </w:rPr>
        <w:lastRenderedPageBreak/>
        <w:t xml:space="preserve">Pfeffer, J and Salancik, GR. (1978) </w:t>
      </w:r>
      <w:r w:rsidRPr="00A003AE">
        <w:rPr>
          <w:rFonts w:ascii="Times New Roman" w:eastAsia="Times New Roman" w:hAnsi="Times New Roman" w:cs="Times New Roman"/>
          <w:i/>
        </w:rPr>
        <w:t>The External Control of Organizations: A Resource Dependence Perspective</w:t>
      </w:r>
      <w:r w:rsidRPr="00A36982">
        <w:rPr>
          <w:rFonts w:ascii="Times New Roman" w:eastAsia="Times New Roman" w:hAnsi="Times New Roman" w:cs="Times New Roman"/>
        </w:rPr>
        <w:t xml:space="preserve">, Harper &amp; Row, New York. </w:t>
      </w:r>
    </w:p>
    <w:p w14:paraId="5E30982D" w14:textId="77777777" w:rsidR="00E27697" w:rsidRPr="00A36982" w:rsidRDefault="00E27697" w:rsidP="00E27697">
      <w:pPr>
        <w:rPr>
          <w:rFonts w:ascii="Times New Roman" w:eastAsia="Times New Roman" w:hAnsi="Times New Roman" w:cs="Times New Roman"/>
        </w:rPr>
      </w:pPr>
    </w:p>
    <w:p w14:paraId="094AD549" w14:textId="77777777" w:rsidR="00E27697" w:rsidRPr="00A36982" w:rsidRDefault="00E27697" w:rsidP="00E27697">
      <w:pPr>
        <w:rPr>
          <w:rFonts w:ascii="Times New Roman" w:eastAsia="Times New Roman" w:hAnsi="Times New Roman" w:cs="Times New Roman"/>
        </w:rPr>
      </w:pPr>
      <w:r>
        <w:rPr>
          <w:rFonts w:ascii="Times New Roman" w:eastAsia="Times New Roman" w:hAnsi="Times New Roman" w:cs="Times New Roman"/>
        </w:rPr>
        <w:t>Rajwani, T and Liedong, T</w:t>
      </w:r>
      <w:r w:rsidRPr="00A36982">
        <w:rPr>
          <w:rFonts w:ascii="Times New Roman" w:eastAsia="Times New Roman" w:hAnsi="Times New Roman" w:cs="Times New Roman"/>
        </w:rPr>
        <w:t xml:space="preserve">A. (2015). </w:t>
      </w:r>
      <w:r>
        <w:rPr>
          <w:rFonts w:ascii="Times New Roman" w:eastAsia="Times New Roman" w:hAnsi="Times New Roman" w:cs="Times New Roman"/>
        </w:rPr>
        <w:t>‘</w:t>
      </w:r>
      <w:r w:rsidRPr="00A36982">
        <w:rPr>
          <w:rFonts w:ascii="Times New Roman" w:eastAsia="Times New Roman" w:hAnsi="Times New Roman" w:cs="Times New Roman"/>
        </w:rPr>
        <w:t>Political activity and firm performance within nonmarket research: A review and inter</w:t>
      </w:r>
      <w:r>
        <w:rPr>
          <w:rFonts w:ascii="Times New Roman" w:eastAsia="Times New Roman" w:hAnsi="Times New Roman" w:cs="Times New Roman"/>
        </w:rPr>
        <w:t>national comparative assessment’,</w:t>
      </w:r>
      <w:r w:rsidRPr="00A36982">
        <w:rPr>
          <w:rFonts w:ascii="Times New Roman" w:eastAsia="Times New Roman" w:hAnsi="Times New Roman" w:cs="Times New Roman"/>
        </w:rPr>
        <w:t xml:space="preserve"> </w:t>
      </w:r>
      <w:r w:rsidRPr="00A003AE">
        <w:rPr>
          <w:rFonts w:ascii="Times New Roman" w:eastAsia="Times New Roman" w:hAnsi="Times New Roman" w:cs="Times New Roman"/>
          <w:i/>
        </w:rPr>
        <w:t>Journal of World Business</w:t>
      </w:r>
      <w:r w:rsidRPr="00A36982">
        <w:rPr>
          <w:rFonts w:ascii="Times New Roman" w:eastAsia="Times New Roman" w:hAnsi="Times New Roman" w:cs="Times New Roman"/>
        </w:rPr>
        <w:t xml:space="preserve">, </w:t>
      </w:r>
      <w:r>
        <w:rPr>
          <w:rFonts w:ascii="Times New Roman" w:eastAsia="Times New Roman" w:hAnsi="Times New Roman" w:cs="Times New Roman"/>
        </w:rPr>
        <w:t xml:space="preserve">50, </w:t>
      </w:r>
      <w:r w:rsidRPr="00A36982">
        <w:rPr>
          <w:rFonts w:ascii="Times New Roman" w:eastAsia="Times New Roman" w:hAnsi="Times New Roman" w:cs="Times New Roman"/>
        </w:rPr>
        <w:t>2, 273-283.</w:t>
      </w:r>
    </w:p>
    <w:p w14:paraId="16E50A51" w14:textId="77777777" w:rsidR="00E27697" w:rsidRPr="00A36982" w:rsidRDefault="00E27697" w:rsidP="00E27697">
      <w:pPr>
        <w:rPr>
          <w:rFonts w:ascii="Times New Roman" w:eastAsia="Times New Roman" w:hAnsi="Times New Roman" w:cs="Times New Roman"/>
        </w:rPr>
      </w:pPr>
    </w:p>
    <w:p w14:paraId="6BC99320" w14:textId="77777777" w:rsidR="00E27697" w:rsidRPr="00A36982" w:rsidRDefault="00E27697" w:rsidP="00E27697">
      <w:pPr>
        <w:rPr>
          <w:rFonts w:ascii="Times New Roman" w:eastAsia="Times New Roman" w:hAnsi="Times New Roman" w:cs="Times New Roman"/>
        </w:rPr>
      </w:pPr>
      <w:r>
        <w:rPr>
          <w:rFonts w:ascii="Times New Roman" w:eastAsia="Times New Roman" w:hAnsi="Times New Roman" w:cs="Times New Roman"/>
        </w:rPr>
        <w:t>Richter, BK, Samphantharak, K, and Timmons, J</w:t>
      </w:r>
      <w:r w:rsidRPr="00A36982">
        <w:rPr>
          <w:rFonts w:ascii="Times New Roman" w:eastAsia="Times New Roman" w:hAnsi="Times New Roman" w:cs="Times New Roman"/>
        </w:rPr>
        <w:t xml:space="preserve">F. </w:t>
      </w:r>
      <w:r>
        <w:rPr>
          <w:rFonts w:ascii="Times New Roman" w:eastAsia="Times New Roman" w:hAnsi="Times New Roman" w:cs="Times New Roman"/>
        </w:rPr>
        <w:t xml:space="preserve">(2009) ‘Lobbying and taxes’, </w:t>
      </w:r>
      <w:r w:rsidRPr="00A36982">
        <w:rPr>
          <w:rFonts w:ascii="Times New Roman" w:eastAsia="Times New Roman" w:hAnsi="Times New Roman" w:cs="Times New Roman"/>
        </w:rPr>
        <w:t xml:space="preserve"> </w:t>
      </w:r>
      <w:r w:rsidRPr="00A003AE">
        <w:rPr>
          <w:rFonts w:ascii="Times New Roman" w:eastAsia="Times New Roman" w:hAnsi="Times New Roman" w:cs="Times New Roman"/>
          <w:i/>
        </w:rPr>
        <w:t>American Journal of Political Science</w:t>
      </w:r>
      <w:r>
        <w:rPr>
          <w:rFonts w:ascii="Times New Roman" w:eastAsia="Times New Roman" w:hAnsi="Times New Roman" w:cs="Times New Roman"/>
        </w:rPr>
        <w:t>, 53(4),</w:t>
      </w:r>
      <w:r w:rsidRPr="00A36982">
        <w:rPr>
          <w:rFonts w:ascii="Times New Roman" w:eastAsia="Times New Roman" w:hAnsi="Times New Roman" w:cs="Times New Roman"/>
        </w:rPr>
        <w:t xml:space="preserve"> 893-909. </w:t>
      </w:r>
    </w:p>
    <w:p w14:paraId="2F1E1A54" w14:textId="77777777" w:rsidR="00E27697" w:rsidRPr="00A36982" w:rsidRDefault="00E27697" w:rsidP="00E27697">
      <w:pPr>
        <w:rPr>
          <w:rFonts w:ascii="Times New Roman" w:eastAsia="Times New Roman" w:hAnsi="Times New Roman" w:cs="Times New Roman"/>
        </w:rPr>
      </w:pPr>
    </w:p>
    <w:p w14:paraId="30E4CAFA" w14:textId="77777777" w:rsidR="00E27697" w:rsidRPr="00A36982" w:rsidRDefault="00E27697" w:rsidP="00E27697">
      <w:pPr>
        <w:rPr>
          <w:rFonts w:ascii="Times New Roman" w:eastAsia="Times New Roman" w:hAnsi="Times New Roman" w:cs="Times New Roman"/>
        </w:rPr>
      </w:pPr>
      <w:r w:rsidRPr="00A36982">
        <w:rPr>
          <w:rFonts w:ascii="Times New Roman" w:eastAsia="Times New Roman" w:hAnsi="Times New Roman" w:cs="Times New Roman"/>
        </w:rPr>
        <w:t>Ridge J, Ingram</w:t>
      </w:r>
      <w:r>
        <w:rPr>
          <w:rFonts w:ascii="Times New Roman" w:eastAsia="Times New Roman" w:hAnsi="Times New Roman" w:cs="Times New Roman"/>
        </w:rPr>
        <w:t>,</w:t>
      </w:r>
      <w:r w:rsidRPr="00A36982">
        <w:rPr>
          <w:rFonts w:ascii="Times New Roman" w:eastAsia="Times New Roman" w:hAnsi="Times New Roman" w:cs="Times New Roman"/>
        </w:rPr>
        <w:t xml:space="preserve"> A, </w:t>
      </w:r>
      <w:r>
        <w:rPr>
          <w:rFonts w:ascii="Times New Roman" w:eastAsia="Times New Roman" w:hAnsi="Times New Roman" w:cs="Times New Roman"/>
        </w:rPr>
        <w:t xml:space="preserve">and </w:t>
      </w:r>
      <w:r w:rsidRPr="00A36982">
        <w:rPr>
          <w:rFonts w:ascii="Times New Roman" w:eastAsia="Times New Roman" w:hAnsi="Times New Roman" w:cs="Times New Roman"/>
        </w:rPr>
        <w:t>Hill</w:t>
      </w:r>
      <w:r>
        <w:rPr>
          <w:rFonts w:ascii="Times New Roman" w:eastAsia="Times New Roman" w:hAnsi="Times New Roman" w:cs="Times New Roman"/>
        </w:rPr>
        <w:t>,</w:t>
      </w:r>
      <w:r w:rsidRPr="00A36982">
        <w:rPr>
          <w:rFonts w:ascii="Times New Roman" w:eastAsia="Times New Roman" w:hAnsi="Times New Roman" w:cs="Times New Roman"/>
        </w:rPr>
        <w:t xml:space="preserve"> A. </w:t>
      </w:r>
      <w:r>
        <w:rPr>
          <w:rFonts w:ascii="Times New Roman" w:eastAsia="Times New Roman" w:hAnsi="Times New Roman" w:cs="Times New Roman"/>
        </w:rPr>
        <w:t>(</w:t>
      </w:r>
      <w:r w:rsidRPr="00A36982">
        <w:rPr>
          <w:rFonts w:ascii="Times New Roman" w:eastAsia="Times New Roman" w:hAnsi="Times New Roman" w:cs="Times New Roman"/>
        </w:rPr>
        <w:t>2016</w:t>
      </w:r>
      <w:r>
        <w:rPr>
          <w:rFonts w:ascii="Times New Roman" w:eastAsia="Times New Roman" w:hAnsi="Times New Roman" w:cs="Times New Roman"/>
        </w:rPr>
        <w:t>)</w:t>
      </w:r>
      <w:r w:rsidRPr="00A36982">
        <w:rPr>
          <w:rFonts w:ascii="Times New Roman" w:eastAsia="Times New Roman" w:hAnsi="Times New Roman" w:cs="Times New Roman"/>
        </w:rPr>
        <w:t xml:space="preserve">. </w:t>
      </w:r>
      <w:r>
        <w:rPr>
          <w:rFonts w:ascii="Times New Roman" w:eastAsia="Times New Roman" w:hAnsi="Times New Roman" w:cs="Times New Roman"/>
        </w:rPr>
        <w:t>‘</w:t>
      </w:r>
      <w:r w:rsidRPr="00A36982">
        <w:rPr>
          <w:rFonts w:ascii="Times New Roman" w:eastAsia="Times New Roman" w:hAnsi="Times New Roman" w:cs="Times New Roman"/>
        </w:rPr>
        <w:t>Beyond lobbying expenditures: How lobbying breadth and political conn</w:t>
      </w:r>
      <w:r>
        <w:rPr>
          <w:rFonts w:ascii="Times New Roman" w:eastAsia="Times New Roman" w:hAnsi="Times New Roman" w:cs="Times New Roman"/>
        </w:rPr>
        <w:t xml:space="preserve">ectedness affect firm outcomes’, </w:t>
      </w:r>
      <w:r w:rsidRPr="00A003AE">
        <w:rPr>
          <w:rFonts w:ascii="Times New Roman" w:eastAsia="Times New Roman" w:hAnsi="Times New Roman" w:cs="Times New Roman"/>
          <w:i/>
        </w:rPr>
        <w:t>Academy of Management Journal</w:t>
      </w:r>
      <w:r>
        <w:rPr>
          <w:rFonts w:ascii="Times New Roman" w:eastAsia="Times New Roman" w:hAnsi="Times New Roman" w:cs="Times New Roman"/>
        </w:rPr>
        <w:t>, 60(3),</w:t>
      </w:r>
      <w:r w:rsidRPr="00A36982">
        <w:rPr>
          <w:rFonts w:ascii="Times New Roman" w:eastAsia="Times New Roman" w:hAnsi="Times New Roman" w:cs="Times New Roman"/>
        </w:rPr>
        <w:t xml:space="preserve"> 1138– 1163.</w:t>
      </w:r>
    </w:p>
    <w:p w14:paraId="77BB676F" w14:textId="77777777" w:rsidR="00E27697" w:rsidRPr="00A36982" w:rsidRDefault="00E27697" w:rsidP="00E27697">
      <w:pPr>
        <w:rPr>
          <w:rFonts w:ascii="Times New Roman" w:eastAsia="Times New Roman" w:hAnsi="Times New Roman" w:cs="Times New Roman"/>
        </w:rPr>
      </w:pPr>
    </w:p>
    <w:p w14:paraId="6B7C001D" w14:textId="77777777" w:rsidR="00E27697" w:rsidRPr="00A36982" w:rsidRDefault="00E27697" w:rsidP="00E27697">
      <w:pPr>
        <w:rPr>
          <w:rFonts w:ascii="Times New Roman" w:eastAsia="Times New Roman" w:hAnsi="Times New Roman" w:cs="Times New Roman"/>
        </w:rPr>
      </w:pPr>
      <w:r w:rsidRPr="00A36982">
        <w:rPr>
          <w:rFonts w:ascii="Times New Roman" w:eastAsia="Times New Roman" w:hAnsi="Times New Roman" w:cs="Times New Roman"/>
          <w:color w:val="000000"/>
          <w:shd w:val="clear" w:color="auto" w:fill="FFFFFF"/>
        </w:rPr>
        <w:t>Rudy</w:t>
      </w:r>
      <w:r>
        <w:rPr>
          <w:rFonts w:ascii="Times New Roman" w:eastAsia="Times New Roman" w:hAnsi="Times New Roman" w:cs="Times New Roman"/>
          <w:color w:val="000000"/>
          <w:shd w:val="clear" w:color="auto" w:fill="FFFFFF"/>
        </w:rPr>
        <w:t>, BC</w:t>
      </w:r>
      <w:r w:rsidRPr="00A36982">
        <w:rPr>
          <w:rFonts w:ascii="Times New Roman" w:eastAsia="Times New Roman" w:hAnsi="Times New Roman" w:cs="Times New Roman"/>
          <w:color w:val="000000"/>
          <w:shd w:val="clear" w:color="auto" w:fill="FFFFFF"/>
        </w:rPr>
        <w:t> and  Cavich</w:t>
      </w:r>
      <w:r>
        <w:rPr>
          <w:rFonts w:ascii="Times New Roman" w:eastAsia="Times New Roman" w:hAnsi="Times New Roman" w:cs="Times New Roman"/>
          <w:color w:val="000000"/>
          <w:shd w:val="clear" w:color="auto" w:fill="FFFFFF"/>
        </w:rPr>
        <w:t>, J</w:t>
      </w:r>
      <w:r w:rsidRPr="00A36982">
        <w:rPr>
          <w:rFonts w:ascii="Times New Roman" w:eastAsia="Times New Roman" w:hAnsi="Times New Roman" w:cs="Times New Roman"/>
          <w:color w:val="000000"/>
          <w:shd w:val="clear" w:color="auto" w:fill="FFFFFF"/>
        </w:rPr>
        <w:t xml:space="preserve">. (2017) </w:t>
      </w:r>
      <w:r>
        <w:rPr>
          <w:rFonts w:ascii="Times New Roman" w:eastAsia="Times New Roman" w:hAnsi="Times New Roman" w:cs="Times New Roman"/>
          <w:color w:val="000000"/>
          <w:shd w:val="clear" w:color="auto" w:fill="FFFFFF"/>
        </w:rPr>
        <w:t>‘Nonmarket signals: Investment in corporate p</w:t>
      </w:r>
      <w:r w:rsidRPr="00A36982">
        <w:rPr>
          <w:rFonts w:ascii="Times New Roman" w:eastAsia="Times New Roman" w:hAnsi="Times New Roman" w:cs="Times New Roman"/>
          <w:color w:val="000000"/>
          <w:shd w:val="clear" w:color="auto" w:fill="FFFFFF"/>
        </w:rPr>
        <w:t>olitica</w:t>
      </w:r>
      <w:r>
        <w:rPr>
          <w:rFonts w:ascii="Times New Roman" w:eastAsia="Times New Roman" w:hAnsi="Times New Roman" w:cs="Times New Roman"/>
          <w:color w:val="000000"/>
          <w:shd w:val="clear" w:color="auto" w:fill="FFFFFF"/>
        </w:rPr>
        <w:t>l activity and the performance of initial public o</w:t>
      </w:r>
      <w:r w:rsidRPr="00A36982">
        <w:rPr>
          <w:rFonts w:ascii="Times New Roman" w:eastAsia="Times New Roman" w:hAnsi="Times New Roman" w:cs="Times New Roman"/>
          <w:color w:val="000000"/>
          <w:shd w:val="clear" w:color="auto" w:fill="FFFFFF"/>
        </w:rPr>
        <w:t>fferings</w:t>
      </w:r>
      <w:r>
        <w:rPr>
          <w:rFonts w:ascii="Times New Roman" w:eastAsia="Times New Roman" w:hAnsi="Times New Roman" w:cs="Times New Roman"/>
          <w:color w:val="000000"/>
          <w:shd w:val="clear" w:color="auto" w:fill="FFFFFF"/>
        </w:rPr>
        <w:t xml:space="preserve">’, </w:t>
      </w:r>
      <w:r w:rsidRPr="00A36982">
        <w:rPr>
          <w:rFonts w:ascii="Times New Roman" w:eastAsia="Times New Roman" w:hAnsi="Times New Roman" w:cs="Times New Roman"/>
          <w:i/>
          <w:iCs/>
          <w:color w:val="000000"/>
          <w:shd w:val="clear" w:color="auto" w:fill="FFFFFF"/>
        </w:rPr>
        <w:t>Business &amp; Society</w:t>
      </w:r>
      <w:r>
        <w:rPr>
          <w:rFonts w:ascii="Times New Roman" w:eastAsia="Times New Roman" w:hAnsi="Times New Roman" w:cs="Times New Roman"/>
          <w:i/>
          <w:iCs/>
          <w:color w:val="000000"/>
          <w:shd w:val="clear" w:color="auto" w:fill="FFFFFF"/>
        </w:rPr>
        <w:t>,</w:t>
      </w:r>
      <w:r w:rsidRPr="00A36982">
        <w:rPr>
          <w:rFonts w:ascii="Times New Roman" w:eastAsia="Times New Roman" w:hAnsi="Times New Roman" w:cs="Times New Roman"/>
          <w:color w:val="000000"/>
          <w:shd w:val="clear" w:color="auto" w:fill="FFFFFF"/>
        </w:rPr>
        <w:t> </w:t>
      </w:r>
      <w:r w:rsidRPr="00A36982">
        <w:rPr>
          <w:rFonts w:ascii="Times New Roman" w:eastAsia="Times New Roman" w:hAnsi="Times New Roman" w:cs="Times New Roman"/>
          <w:bCs/>
          <w:color w:val="000000"/>
          <w:shd w:val="clear" w:color="auto" w:fill="FFFFFF"/>
        </w:rPr>
        <w:t>9</w:t>
      </w:r>
      <w:r w:rsidRPr="00A36982">
        <w:rPr>
          <w:rFonts w:ascii="Times New Roman" w:eastAsia="Times New Roman" w:hAnsi="Times New Roman" w:cs="Times New Roman"/>
          <w:color w:val="000000"/>
          <w:shd w:val="clear" w:color="auto" w:fill="FFFFFF"/>
        </w:rPr>
        <w:t>, 000765031771726. </w:t>
      </w:r>
      <w:r w:rsidRPr="00A36982">
        <w:rPr>
          <w:rFonts w:ascii="Times New Roman" w:eastAsia="Times New Roman" w:hAnsi="Times New Roman" w:cs="Times New Roman"/>
          <w:color w:val="000000"/>
        </w:rPr>
        <w:br/>
      </w:r>
    </w:p>
    <w:p w14:paraId="0F1D3CDE" w14:textId="77777777" w:rsidR="00E27697" w:rsidRPr="00A36982" w:rsidRDefault="00E27697" w:rsidP="00E27697">
      <w:pPr>
        <w:rPr>
          <w:rFonts w:ascii="Times New Roman" w:eastAsia="Times New Roman" w:hAnsi="Times New Roman" w:cs="Times New Roman"/>
        </w:rPr>
      </w:pPr>
      <w:r>
        <w:rPr>
          <w:rFonts w:ascii="Times New Roman" w:eastAsia="Times New Roman" w:hAnsi="Times New Roman" w:cs="Times New Roman"/>
        </w:rPr>
        <w:t xml:space="preserve">Shaffer, B, Quasney, T, </w:t>
      </w:r>
      <w:r w:rsidRPr="00A36982">
        <w:rPr>
          <w:rFonts w:ascii="Times New Roman" w:eastAsia="Times New Roman" w:hAnsi="Times New Roman" w:cs="Times New Roman"/>
        </w:rPr>
        <w:t xml:space="preserve">and Grimm, C. (2000). </w:t>
      </w:r>
      <w:r>
        <w:rPr>
          <w:rFonts w:ascii="Times New Roman" w:eastAsia="Times New Roman" w:hAnsi="Times New Roman" w:cs="Times New Roman"/>
        </w:rPr>
        <w:t>‘</w:t>
      </w:r>
      <w:r w:rsidRPr="00A36982">
        <w:rPr>
          <w:rFonts w:ascii="Times New Roman" w:eastAsia="Times New Roman" w:hAnsi="Times New Roman" w:cs="Times New Roman"/>
        </w:rPr>
        <w:t>Firm level performance im</w:t>
      </w:r>
      <w:r>
        <w:rPr>
          <w:rFonts w:ascii="Times New Roman" w:eastAsia="Times New Roman" w:hAnsi="Times New Roman" w:cs="Times New Roman"/>
        </w:rPr>
        <w:t>plications of nonmarket actions’,</w:t>
      </w:r>
      <w:r w:rsidRPr="00A36982">
        <w:rPr>
          <w:rFonts w:ascii="Times New Roman" w:eastAsia="Times New Roman" w:hAnsi="Times New Roman" w:cs="Times New Roman"/>
        </w:rPr>
        <w:t xml:space="preserve"> </w:t>
      </w:r>
      <w:r w:rsidRPr="00982E18">
        <w:rPr>
          <w:rFonts w:ascii="Times New Roman" w:eastAsia="Times New Roman" w:hAnsi="Times New Roman" w:cs="Times New Roman"/>
          <w:i/>
        </w:rPr>
        <w:t>Business and Society</w:t>
      </w:r>
      <w:r w:rsidRPr="00A36982">
        <w:rPr>
          <w:rFonts w:ascii="Times New Roman" w:eastAsia="Times New Roman" w:hAnsi="Times New Roman" w:cs="Times New Roman"/>
        </w:rPr>
        <w:t>, 39, 126-143.</w:t>
      </w:r>
    </w:p>
    <w:p w14:paraId="6FB4CC83" w14:textId="77777777" w:rsidR="00E27697" w:rsidRPr="00A36982" w:rsidRDefault="00E27697" w:rsidP="00E27697">
      <w:pPr>
        <w:rPr>
          <w:rFonts w:ascii="Times New Roman" w:eastAsia="Times New Roman" w:hAnsi="Times New Roman" w:cs="Times New Roman"/>
        </w:rPr>
      </w:pPr>
    </w:p>
    <w:p w14:paraId="0616C2D1" w14:textId="77777777" w:rsidR="00E27697" w:rsidRPr="00A36982" w:rsidRDefault="00E27697" w:rsidP="00E27697">
      <w:pPr>
        <w:rPr>
          <w:rFonts w:ascii="Times New Roman" w:eastAsia="Times New Roman" w:hAnsi="Times New Roman" w:cs="Times New Roman"/>
        </w:rPr>
      </w:pPr>
      <w:r>
        <w:rPr>
          <w:rFonts w:ascii="Times New Roman" w:eastAsia="Times New Roman" w:hAnsi="Times New Roman" w:cs="Times New Roman"/>
        </w:rPr>
        <w:t>Stinchcombe, A</w:t>
      </w:r>
      <w:r w:rsidRPr="00A36982">
        <w:rPr>
          <w:rFonts w:ascii="Times New Roman" w:eastAsia="Times New Roman" w:hAnsi="Times New Roman" w:cs="Times New Roman"/>
        </w:rPr>
        <w:t xml:space="preserve">L. </w:t>
      </w:r>
      <w:r>
        <w:rPr>
          <w:rFonts w:ascii="Times New Roman" w:eastAsia="Times New Roman" w:hAnsi="Times New Roman" w:cs="Times New Roman"/>
        </w:rPr>
        <w:t>(</w:t>
      </w:r>
      <w:r w:rsidRPr="00A36982">
        <w:rPr>
          <w:rFonts w:ascii="Times New Roman" w:eastAsia="Times New Roman" w:hAnsi="Times New Roman" w:cs="Times New Roman"/>
        </w:rPr>
        <w:t>1965</w:t>
      </w:r>
      <w:r>
        <w:rPr>
          <w:rFonts w:ascii="Times New Roman" w:eastAsia="Times New Roman" w:hAnsi="Times New Roman" w:cs="Times New Roman"/>
        </w:rPr>
        <w:t>)</w:t>
      </w:r>
      <w:r w:rsidRPr="00A36982">
        <w:rPr>
          <w:rFonts w:ascii="Times New Roman" w:eastAsia="Times New Roman" w:hAnsi="Times New Roman" w:cs="Times New Roman"/>
        </w:rPr>
        <w:t xml:space="preserve">. </w:t>
      </w:r>
      <w:r>
        <w:rPr>
          <w:rFonts w:ascii="Times New Roman" w:eastAsia="Times New Roman" w:hAnsi="Times New Roman" w:cs="Times New Roman"/>
        </w:rPr>
        <w:t>‘</w:t>
      </w:r>
      <w:r w:rsidRPr="00A36982">
        <w:rPr>
          <w:rFonts w:ascii="Times New Roman" w:eastAsia="Times New Roman" w:hAnsi="Times New Roman" w:cs="Times New Roman"/>
        </w:rPr>
        <w:t>Social Structure and Organizations</w:t>
      </w:r>
      <w:r>
        <w:rPr>
          <w:rFonts w:ascii="Times New Roman" w:eastAsia="Times New Roman" w:hAnsi="Times New Roman" w:cs="Times New Roman"/>
        </w:rPr>
        <w:t>’, i</w:t>
      </w:r>
      <w:r w:rsidRPr="00A36982">
        <w:rPr>
          <w:rFonts w:ascii="Times New Roman" w:eastAsia="Times New Roman" w:hAnsi="Times New Roman" w:cs="Times New Roman"/>
        </w:rPr>
        <w:t>n March</w:t>
      </w:r>
      <w:r>
        <w:rPr>
          <w:rFonts w:ascii="Times New Roman" w:eastAsia="Times New Roman" w:hAnsi="Times New Roman" w:cs="Times New Roman"/>
        </w:rPr>
        <w:t>,</w:t>
      </w:r>
      <w:r w:rsidRPr="00982E18">
        <w:rPr>
          <w:rFonts w:ascii="Times New Roman" w:eastAsia="Times New Roman" w:hAnsi="Times New Roman" w:cs="Times New Roman"/>
        </w:rPr>
        <w:t xml:space="preserve"> </w:t>
      </w:r>
      <w:r>
        <w:rPr>
          <w:rFonts w:ascii="Times New Roman" w:eastAsia="Times New Roman" w:hAnsi="Times New Roman" w:cs="Times New Roman"/>
        </w:rPr>
        <w:t>JG.</w:t>
      </w:r>
      <w:r w:rsidRPr="00A36982">
        <w:rPr>
          <w:rFonts w:ascii="Times New Roman" w:eastAsia="Times New Roman" w:hAnsi="Times New Roman" w:cs="Times New Roman"/>
        </w:rPr>
        <w:t xml:space="preserve"> (Ed.), </w:t>
      </w:r>
      <w:r w:rsidRPr="00982E18">
        <w:rPr>
          <w:rFonts w:ascii="Times New Roman" w:eastAsia="Times New Roman" w:hAnsi="Times New Roman" w:cs="Times New Roman"/>
          <w:i/>
        </w:rPr>
        <w:t>Handbook of Organizations</w:t>
      </w:r>
      <w:r>
        <w:rPr>
          <w:rFonts w:ascii="Times New Roman" w:eastAsia="Times New Roman" w:hAnsi="Times New Roman" w:cs="Times New Roman"/>
        </w:rPr>
        <w:t>,</w:t>
      </w:r>
      <w:r w:rsidRPr="00A36982">
        <w:rPr>
          <w:rFonts w:ascii="Times New Roman" w:eastAsia="Times New Roman" w:hAnsi="Times New Roman" w:cs="Times New Roman"/>
        </w:rPr>
        <w:t xml:space="preserve"> </w:t>
      </w:r>
      <w:r>
        <w:rPr>
          <w:rFonts w:ascii="Times New Roman" w:eastAsia="Times New Roman" w:hAnsi="Times New Roman" w:cs="Times New Roman"/>
        </w:rPr>
        <w:t>Rand McNally &amp; Co, Chicago,</w:t>
      </w:r>
      <w:r w:rsidRPr="00A36982">
        <w:rPr>
          <w:rFonts w:ascii="Times New Roman" w:eastAsia="Times New Roman" w:hAnsi="Times New Roman" w:cs="Times New Roman"/>
        </w:rPr>
        <w:t xml:space="preserve"> 142-193.</w:t>
      </w:r>
    </w:p>
    <w:p w14:paraId="323C7DE7" w14:textId="77777777" w:rsidR="00E27697" w:rsidRPr="00A36982" w:rsidRDefault="00E27697" w:rsidP="00E27697">
      <w:pPr>
        <w:rPr>
          <w:rFonts w:ascii="Times New Roman" w:hAnsi="Times New Roman" w:cs="Times New Roman"/>
        </w:rPr>
      </w:pPr>
    </w:p>
    <w:p w14:paraId="55B6E6AD" w14:textId="3C4DAFD4" w:rsidR="00E27697" w:rsidRPr="00A36982" w:rsidRDefault="00E27697" w:rsidP="00E27697">
      <w:pPr>
        <w:rPr>
          <w:rFonts w:ascii="Times New Roman" w:eastAsia="Times New Roman" w:hAnsi="Times New Roman" w:cs="Times New Roman"/>
        </w:rPr>
      </w:pPr>
      <w:r>
        <w:rPr>
          <w:rFonts w:ascii="Times New Roman" w:eastAsia="Times New Roman" w:hAnsi="Times New Roman" w:cs="Times New Roman"/>
        </w:rPr>
        <w:t>Tian, X</w:t>
      </w:r>
      <w:r w:rsidRPr="00A36982">
        <w:rPr>
          <w:rFonts w:ascii="Times New Roman" w:eastAsia="Times New Roman" w:hAnsi="Times New Roman" w:cs="Times New Roman"/>
        </w:rPr>
        <w:t xml:space="preserve"> and Ye, </w:t>
      </w:r>
      <w:r>
        <w:rPr>
          <w:rFonts w:ascii="Times New Roman" w:eastAsia="Times New Roman" w:hAnsi="Times New Roman" w:cs="Times New Roman"/>
        </w:rPr>
        <w:t>K. (2017) ‘How does policy uncertainty affect venture c</w:t>
      </w:r>
      <w:r w:rsidR="00A13CFC">
        <w:rPr>
          <w:rFonts w:ascii="Times New Roman" w:eastAsia="Times New Roman" w:hAnsi="Times New Roman" w:cs="Times New Roman"/>
        </w:rPr>
        <w:t>apital?</w:t>
      </w:r>
      <w:r w:rsidRPr="00A36982">
        <w:rPr>
          <w:rFonts w:ascii="Times New Roman" w:eastAsia="Times New Roman" w:hAnsi="Times New Roman" w:cs="Times New Roman"/>
        </w:rPr>
        <w:t xml:space="preserve"> Working paper. DOI: 10.2139/ssrn.2910075</w:t>
      </w:r>
    </w:p>
    <w:p w14:paraId="64BC59EE" w14:textId="77777777" w:rsidR="00E27697" w:rsidRPr="00A36982" w:rsidRDefault="00E27697" w:rsidP="00E27697">
      <w:pPr>
        <w:rPr>
          <w:rFonts w:ascii="Times New Roman" w:hAnsi="Times New Roman" w:cs="Times New Roman"/>
        </w:rPr>
      </w:pPr>
    </w:p>
    <w:p w14:paraId="28D2EC8F" w14:textId="77777777" w:rsidR="00E27697" w:rsidRPr="00A36982" w:rsidRDefault="00E27697" w:rsidP="00E27697">
      <w:pPr>
        <w:rPr>
          <w:rFonts w:ascii="Times New Roman" w:eastAsia="Times New Roman" w:hAnsi="Times New Roman" w:cs="Times New Roman"/>
        </w:rPr>
      </w:pPr>
      <w:r w:rsidRPr="00A36982">
        <w:rPr>
          <w:rFonts w:ascii="Times New Roman" w:eastAsia="Times New Roman" w:hAnsi="Times New Roman" w:cs="Times New Roman"/>
        </w:rPr>
        <w:t>Ueda, Masako</w:t>
      </w:r>
      <w:r>
        <w:rPr>
          <w:rFonts w:ascii="Times New Roman" w:eastAsia="Times New Roman" w:hAnsi="Times New Roman" w:cs="Times New Roman"/>
        </w:rPr>
        <w:t>. (2004) ‘Banks versus venture capital: Project evaluation, screening, and e</w:t>
      </w:r>
      <w:r w:rsidRPr="00A36982">
        <w:rPr>
          <w:rFonts w:ascii="Times New Roman" w:eastAsia="Times New Roman" w:hAnsi="Times New Roman" w:cs="Times New Roman"/>
        </w:rPr>
        <w:t xml:space="preserve">xpropriation,’ </w:t>
      </w:r>
      <w:r w:rsidRPr="00982E18">
        <w:rPr>
          <w:rFonts w:ascii="Times New Roman" w:eastAsia="Times New Roman" w:hAnsi="Times New Roman" w:cs="Times New Roman"/>
          <w:i/>
        </w:rPr>
        <w:t>Journal of Finance</w:t>
      </w:r>
      <w:r w:rsidRPr="00A36982">
        <w:rPr>
          <w:rFonts w:ascii="Times New Roman" w:eastAsia="Times New Roman" w:hAnsi="Times New Roman" w:cs="Times New Roman"/>
        </w:rPr>
        <w:t xml:space="preserve">, 59(2) 601-21. </w:t>
      </w:r>
    </w:p>
    <w:p w14:paraId="3EC9EF68" w14:textId="77777777" w:rsidR="00E27697" w:rsidRPr="00A36982" w:rsidRDefault="00E27697" w:rsidP="00E27697">
      <w:pPr>
        <w:rPr>
          <w:rFonts w:ascii="Times New Roman" w:hAnsi="Times New Roman" w:cs="Times New Roman"/>
        </w:rPr>
      </w:pPr>
    </w:p>
    <w:p w14:paraId="63FFC0DB" w14:textId="77777777" w:rsidR="0047476C" w:rsidRPr="007A5E01" w:rsidRDefault="0047476C">
      <w:pPr>
        <w:rPr>
          <w:rFonts w:ascii="Times New Roman" w:hAnsi="Times New Roman" w:cs="Times New Roman"/>
        </w:rPr>
      </w:pPr>
    </w:p>
    <w:p w14:paraId="65967222" w14:textId="77777777" w:rsidR="0047476C" w:rsidRPr="007A5E01" w:rsidRDefault="0047476C">
      <w:pPr>
        <w:rPr>
          <w:rFonts w:ascii="Times New Roman" w:hAnsi="Times New Roman" w:cs="Times New Roman"/>
        </w:rPr>
      </w:pPr>
    </w:p>
    <w:p w14:paraId="6D7CF739" w14:textId="77777777" w:rsidR="00B95A2D" w:rsidRPr="007A5E01" w:rsidRDefault="00B95A2D">
      <w:pPr>
        <w:rPr>
          <w:rFonts w:ascii="Times New Roman" w:hAnsi="Times New Roman" w:cs="Times New Roman"/>
        </w:rPr>
      </w:pPr>
    </w:p>
    <w:p w14:paraId="6E253DBD" w14:textId="77777777" w:rsidR="00B95A2D" w:rsidRPr="007A5E01" w:rsidRDefault="00B95A2D">
      <w:pPr>
        <w:rPr>
          <w:rFonts w:ascii="Times New Roman" w:hAnsi="Times New Roman" w:cs="Times New Roman"/>
        </w:rPr>
      </w:pPr>
    </w:p>
    <w:p w14:paraId="6B541114" w14:textId="472BB4A8" w:rsidR="00A14A03" w:rsidRDefault="00A14A03">
      <w:pPr>
        <w:rPr>
          <w:rFonts w:ascii="Times New Roman" w:hAnsi="Times New Roman" w:cs="Times New Roman"/>
        </w:rPr>
      </w:pPr>
      <w:r>
        <w:rPr>
          <w:rFonts w:ascii="Times New Roman" w:hAnsi="Times New Roman" w:cs="Times New Roman"/>
        </w:rPr>
        <w:br w:type="page"/>
      </w:r>
    </w:p>
    <w:p w14:paraId="72BE7E93" w14:textId="77777777" w:rsidR="00A14A03" w:rsidRDefault="00A14A03" w:rsidP="00A14A03">
      <w:pPr>
        <w:rPr>
          <w:rFonts w:ascii="Times New Roman" w:hAnsi="Times New Roman" w:cs="Times New Roman"/>
        </w:rPr>
      </w:pPr>
    </w:p>
    <w:p w14:paraId="13201E29" w14:textId="77777777" w:rsidR="00A14A03" w:rsidRPr="00062EAD" w:rsidRDefault="00A14A03" w:rsidP="00A14A03">
      <w:pPr>
        <w:rPr>
          <w:rFonts w:ascii="Times New Roman" w:hAnsi="Times New Roman" w:cs="Times New Roman"/>
          <w:b/>
        </w:rPr>
      </w:pPr>
      <w:r w:rsidRPr="00062EAD">
        <w:rPr>
          <w:rFonts w:ascii="Times New Roman" w:hAnsi="Times New Roman" w:cs="Times New Roman"/>
          <w:b/>
        </w:rPr>
        <w:t xml:space="preserve">Table 1 </w:t>
      </w:r>
    </w:p>
    <w:p w14:paraId="5231C1F7" w14:textId="77777777" w:rsidR="00A14A03" w:rsidRPr="00062EAD" w:rsidRDefault="00A14A03" w:rsidP="00A14A03">
      <w:pPr>
        <w:rPr>
          <w:rFonts w:ascii="Times New Roman" w:hAnsi="Times New Roman" w:cs="Times New Roman"/>
          <w:b/>
        </w:rPr>
      </w:pPr>
      <w:r w:rsidRPr="00062EAD">
        <w:rPr>
          <w:rFonts w:ascii="Times New Roman" w:hAnsi="Times New Roman" w:cs="Times New Roman"/>
          <w:b/>
        </w:rPr>
        <w:t>Descriptive Statistics</w:t>
      </w:r>
    </w:p>
    <w:p w14:paraId="59EB0DFA" w14:textId="77777777" w:rsidR="00A14A03" w:rsidRPr="007A5E01" w:rsidRDefault="00A14A03" w:rsidP="00A14A03">
      <w:pPr>
        <w:rPr>
          <w:rFonts w:ascii="Times New Roman" w:hAnsi="Times New Roman" w:cs="Times New Roman"/>
        </w:rPr>
      </w:pPr>
    </w:p>
    <w:tbl>
      <w:tblPr>
        <w:tblpPr w:leftFromText="180" w:rightFromText="180" w:vertAnchor="page" w:horzAnchor="page" w:tblpX="1810" w:tblpY="2705"/>
        <w:tblW w:w="9900" w:type="dxa"/>
        <w:tblLook w:val="04A0" w:firstRow="1" w:lastRow="0" w:firstColumn="1" w:lastColumn="0" w:noHBand="0" w:noVBand="1"/>
      </w:tblPr>
      <w:tblGrid>
        <w:gridCol w:w="2100"/>
        <w:gridCol w:w="1300"/>
        <w:gridCol w:w="1300"/>
        <w:gridCol w:w="1300"/>
        <w:gridCol w:w="1300"/>
        <w:gridCol w:w="1300"/>
        <w:gridCol w:w="1300"/>
      </w:tblGrid>
      <w:tr w:rsidR="00A14A03" w:rsidRPr="007A5E01" w14:paraId="15CA1CF8" w14:textId="77777777" w:rsidTr="00AE2262">
        <w:trPr>
          <w:trHeight w:val="300"/>
        </w:trPr>
        <w:tc>
          <w:tcPr>
            <w:tcW w:w="2100" w:type="dxa"/>
            <w:tcBorders>
              <w:top w:val="single" w:sz="4" w:space="0" w:color="auto"/>
              <w:left w:val="nil"/>
              <w:bottom w:val="single" w:sz="4" w:space="0" w:color="auto"/>
              <w:right w:val="nil"/>
            </w:tcBorders>
            <w:shd w:val="clear" w:color="auto" w:fill="auto"/>
            <w:noWrap/>
            <w:vAlign w:val="bottom"/>
            <w:hideMark/>
          </w:tcPr>
          <w:p w14:paraId="29840338" w14:textId="77777777" w:rsidR="00A14A03" w:rsidRDefault="00A14A03" w:rsidP="00AE2262">
            <w:pPr>
              <w:rPr>
                <w:rFonts w:ascii="Times New Roman" w:eastAsia="Times New Roman" w:hAnsi="Times New Roman" w:cs="Times New Roman"/>
                <w:color w:val="000000"/>
              </w:rPr>
            </w:pPr>
          </w:p>
          <w:p w14:paraId="487C3530" w14:textId="77777777" w:rsidR="00A14A03" w:rsidRPr="007A5E01" w:rsidRDefault="00A14A03" w:rsidP="00AE2262">
            <w:pPr>
              <w:rPr>
                <w:rFonts w:ascii="Times New Roman" w:eastAsia="Times New Roman" w:hAnsi="Times New Roman" w:cs="Times New Roman"/>
                <w:color w:val="000000"/>
              </w:rPr>
            </w:pPr>
          </w:p>
        </w:tc>
        <w:tc>
          <w:tcPr>
            <w:tcW w:w="1300" w:type="dxa"/>
            <w:tcBorders>
              <w:top w:val="single" w:sz="4" w:space="0" w:color="auto"/>
              <w:left w:val="nil"/>
              <w:bottom w:val="single" w:sz="4" w:space="0" w:color="auto"/>
              <w:right w:val="nil"/>
            </w:tcBorders>
            <w:shd w:val="clear" w:color="auto" w:fill="auto"/>
            <w:noWrap/>
            <w:vAlign w:val="bottom"/>
            <w:hideMark/>
          </w:tcPr>
          <w:p w14:paraId="601154F7" w14:textId="77777777" w:rsidR="00A14A03" w:rsidRPr="00400D06" w:rsidRDefault="00A14A03" w:rsidP="00AE2262">
            <w:pPr>
              <w:jc w:val="center"/>
              <w:rPr>
                <w:rFonts w:ascii="Times New Roman" w:eastAsia="Times New Roman" w:hAnsi="Times New Roman" w:cs="Times New Roman"/>
                <w:color w:val="000000"/>
              </w:rPr>
            </w:pPr>
            <w:r w:rsidRPr="007A5E01">
              <w:rPr>
                <w:rFonts w:ascii="Times New Roman" w:eastAsia="Times New Roman" w:hAnsi="Times New Roman" w:cs="Times New Roman"/>
                <w:color w:val="000000"/>
              </w:rPr>
              <w:t>VC Backing</w:t>
            </w:r>
          </w:p>
        </w:tc>
        <w:tc>
          <w:tcPr>
            <w:tcW w:w="1300" w:type="dxa"/>
            <w:tcBorders>
              <w:top w:val="single" w:sz="4" w:space="0" w:color="auto"/>
              <w:left w:val="nil"/>
              <w:bottom w:val="single" w:sz="4" w:space="0" w:color="auto"/>
              <w:right w:val="nil"/>
            </w:tcBorders>
            <w:shd w:val="clear" w:color="auto" w:fill="auto"/>
            <w:noWrap/>
            <w:vAlign w:val="bottom"/>
            <w:hideMark/>
          </w:tcPr>
          <w:p w14:paraId="13F58277" w14:textId="77777777" w:rsidR="00A14A03" w:rsidRPr="002C127D" w:rsidRDefault="00A14A03" w:rsidP="00AE2262">
            <w:pPr>
              <w:jc w:val="center"/>
              <w:rPr>
                <w:rFonts w:ascii="Times New Roman" w:eastAsia="Times New Roman" w:hAnsi="Times New Roman" w:cs="Times New Roman"/>
                <w:color w:val="000000"/>
              </w:rPr>
            </w:pPr>
            <w:r w:rsidRPr="002C127D">
              <w:rPr>
                <w:rFonts w:ascii="Times New Roman" w:eastAsia="Times New Roman" w:hAnsi="Times New Roman" w:cs="Times New Roman"/>
                <w:color w:val="000000"/>
              </w:rPr>
              <w:t>Mean</w:t>
            </w:r>
          </w:p>
        </w:tc>
        <w:tc>
          <w:tcPr>
            <w:tcW w:w="1300" w:type="dxa"/>
            <w:tcBorders>
              <w:top w:val="single" w:sz="4" w:space="0" w:color="auto"/>
              <w:left w:val="nil"/>
              <w:bottom w:val="single" w:sz="4" w:space="0" w:color="auto"/>
              <w:right w:val="nil"/>
            </w:tcBorders>
            <w:shd w:val="clear" w:color="auto" w:fill="auto"/>
            <w:noWrap/>
            <w:vAlign w:val="bottom"/>
            <w:hideMark/>
          </w:tcPr>
          <w:p w14:paraId="4C9AD6F0" w14:textId="77777777" w:rsidR="00A14A03" w:rsidRPr="000E33A5" w:rsidRDefault="00A14A03" w:rsidP="00AE2262">
            <w:pPr>
              <w:jc w:val="center"/>
              <w:rPr>
                <w:rFonts w:ascii="Times New Roman" w:eastAsia="Times New Roman" w:hAnsi="Times New Roman" w:cs="Times New Roman"/>
                <w:color w:val="000000"/>
              </w:rPr>
            </w:pPr>
            <w:r w:rsidRPr="000E33A5">
              <w:rPr>
                <w:rFonts w:ascii="Times New Roman" w:eastAsia="Times New Roman" w:hAnsi="Times New Roman" w:cs="Times New Roman"/>
                <w:color w:val="000000"/>
              </w:rPr>
              <w:t>Q1</w:t>
            </w:r>
          </w:p>
        </w:tc>
        <w:tc>
          <w:tcPr>
            <w:tcW w:w="1300" w:type="dxa"/>
            <w:tcBorders>
              <w:top w:val="single" w:sz="4" w:space="0" w:color="auto"/>
              <w:left w:val="nil"/>
              <w:bottom w:val="single" w:sz="4" w:space="0" w:color="auto"/>
              <w:right w:val="nil"/>
            </w:tcBorders>
            <w:shd w:val="clear" w:color="auto" w:fill="auto"/>
            <w:noWrap/>
            <w:vAlign w:val="bottom"/>
            <w:hideMark/>
          </w:tcPr>
          <w:p w14:paraId="6B348881" w14:textId="77777777" w:rsidR="00A14A03" w:rsidRPr="00E339E4" w:rsidRDefault="00A14A03" w:rsidP="00AE2262">
            <w:pPr>
              <w:jc w:val="center"/>
              <w:rPr>
                <w:rFonts w:ascii="Times New Roman" w:eastAsia="Times New Roman" w:hAnsi="Times New Roman" w:cs="Times New Roman"/>
                <w:color w:val="000000"/>
              </w:rPr>
            </w:pPr>
            <w:r w:rsidRPr="00E339E4">
              <w:rPr>
                <w:rFonts w:ascii="Times New Roman" w:eastAsia="Times New Roman" w:hAnsi="Times New Roman" w:cs="Times New Roman"/>
                <w:color w:val="000000"/>
              </w:rPr>
              <w:t>Q2</w:t>
            </w:r>
          </w:p>
        </w:tc>
        <w:tc>
          <w:tcPr>
            <w:tcW w:w="1300" w:type="dxa"/>
            <w:tcBorders>
              <w:top w:val="single" w:sz="4" w:space="0" w:color="auto"/>
              <w:left w:val="nil"/>
              <w:bottom w:val="single" w:sz="4" w:space="0" w:color="auto"/>
              <w:right w:val="nil"/>
            </w:tcBorders>
            <w:shd w:val="clear" w:color="auto" w:fill="auto"/>
            <w:noWrap/>
            <w:vAlign w:val="bottom"/>
            <w:hideMark/>
          </w:tcPr>
          <w:p w14:paraId="5965BC77" w14:textId="77777777" w:rsidR="00A14A03" w:rsidRPr="000E5813" w:rsidRDefault="00A14A03" w:rsidP="00AE2262">
            <w:pPr>
              <w:jc w:val="center"/>
              <w:rPr>
                <w:rFonts w:ascii="Times New Roman" w:eastAsia="Times New Roman" w:hAnsi="Times New Roman" w:cs="Times New Roman"/>
                <w:color w:val="000000"/>
              </w:rPr>
            </w:pPr>
            <w:r w:rsidRPr="000E5813">
              <w:rPr>
                <w:rFonts w:ascii="Times New Roman" w:eastAsia="Times New Roman" w:hAnsi="Times New Roman" w:cs="Times New Roman"/>
                <w:color w:val="000000"/>
              </w:rPr>
              <w:t>Q3</w:t>
            </w:r>
          </w:p>
        </w:tc>
        <w:tc>
          <w:tcPr>
            <w:tcW w:w="1300" w:type="dxa"/>
            <w:tcBorders>
              <w:top w:val="single" w:sz="4" w:space="0" w:color="auto"/>
              <w:left w:val="nil"/>
              <w:bottom w:val="single" w:sz="4" w:space="0" w:color="auto"/>
              <w:right w:val="nil"/>
            </w:tcBorders>
            <w:shd w:val="clear" w:color="auto" w:fill="auto"/>
            <w:noWrap/>
            <w:vAlign w:val="bottom"/>
            <w:hideMark/>
          </w:tcPr>
          <w:p w14:paraId="2EFC07F5" w14:textId="77777777" w:rsidR="00A14A03" w:rsidRPr="00B935AF" w:rsidRDefault="00A14A03" w:rsidP="00AE2262">
            <w:pPr>
              <w:jc w:val="center"/>
              <w:rPr>
                <w:rFonts w:ascii="Times New Roman" w:eastAsia="Times New Roman" w:hAnsi="Times New Roman" w:cs="Times New Roman"/>
                <w:color w:val="000000"/>
              </w:rPr>
            </w:pPr>
            <w:r w:rsidRPr="00B935AF">
              <w:rPr>
                <w:rFonts w:ascii="Times New Roman" w:eastAsia="Times New Roman" w:hAnsi="Times New Roman" w:cs="Times New Roman"/>
                <w:color w:val="000000"/>
              </w:rPr>
              <w:t>N</w:t>
            </w:r>
          </w:p>
        </w:tc>
      </w:tr>
      <w:tr w:rsidR="00A14A03" w:rsidRPr="007A5E01" w14:paraId="73CC5E61" w14:textId="77777777" w:rsidTr="00AE2262">
        <w:trPr>
          <w:trHeight w:val="300"/>
        </w:trPr>
        <w:tc>
          <w:tcPr>
            <w:tcW w:w="2100" w:type="dxa"/>
            <w:tcBorders>
              <w:top w:val="nil"/>
              <w:left w:val="nil"/>
              <w:bottom w:val="nil"/>
              <w:right w:val="nil"/>
            </w:tcBorders>
            <w:shd w:val="clear" w:color="auto" w:fill="auto"/>
            <w:noWrap/>
            <w:vAlign w:val="bottom"/>
            <w:hideMark/>
          </w:tcPr>
          <w:p w14:paraId="05C61D34" w14:textId="77777777" w:rsidR="00A14A03" w:rsidRPr="007A5E01" w:rsidRDefault="00A14A03" w:rsidP="00AE2262">
            <w:pPr>
              <w:rPr>
                <w:rFonts w:ascii="Times New Roman" w:eastAsia="Times New Roman" w:hAnsi="Times New Roman" w:cs="Times New Roman"/>
                <w:color w:val="000000"/>
              </w:rPr>
            </w:pPr>
            <w:r w:rsidRPr="007A5E01">
              <w:rPr>
                <w:rFonts w:ascii="Times New Roman" w:eastAsia="Times New Roman" w:hAnsi="Times New Roman" w:cs="Times New Roman"/>
                <w:color w:val="000000"/>
              </w:rPr>
              <w:t>Lobbying</w:t>
            </w:r>
          </w:p>
        </w:tc>
        <w:tc>
          <w:tcPr>
            <w:tcW w:w="1300" w:type="dxa"/>
            <w:tcBorders>
              <w:top w:val="nil"/>
              <w:left w:val="nil"/>
              <w:bottom w:val="nil"/>
              <w:right w:val="nil"/>
            </w:tcBorders>
            <w:shd w:val="clear" w:color="auto" w:fill="auto"/>
            <w:noWrap/>
            <w:vAlign w:val="bottom"/>
            <w:hideMark/>
          </w:tcPr>
          <w:p w14:paraId="1C5B15D4" w14:textId="77777777" w:rsidR="00A14A03" w:rsidRPr="007A5E01" w:rsidRDefault="00A14A03" w:rsidP="00AE2262">
            <w:pPr>
              <w:jc w:val="center"/>
              <w:rPr>
                <w:rFonts w:ascii="Times New Roman" w:eastAsia="Times New Roman" w:hAnsi="Times New Roman" w:cs="Times New Roman"/>
                <w:color w:val="000000"/>
              </w:rPr>
            </w:pPr>
            <w:r w:rsidRPr="007A5E01">
              <w:rPr>
                <w:rFonts w:ascii="Times New Roman" w:eastAsia="Times New Roman" w:hAnsi="Times New Roman" w:cs="Times New Roman"/>
                <w:color w:val="000000"/>
              </w:rPr>
              <w:t>No</w:t>
            </w:r>
          </w:p>
        </w:tc>
        <w:tc>
          <w:tcPr>
            <w:tcW w:w="1300" w:type="dxa"/>
            <w:tcBorders>
              <w:top w:val="nil"/>
              <w:left w:val="nil"/>
              <w:bottom w:val="nil"/>
              <w:right w:val="nil"/>
            </w:tcBorders>
            <w:shd w:val="clear" w:color="auto" w:fill="auto"/>
            <w:noWrap/>
            <w:vAlign w:val="bottom"/>
            <w:hideMark/>
          </w:tcPr>
          <w:p w14:paraId="6D6139DC" w14:textId="77777777" w:rsidR="00A14A03" w:rsidRPr="00400D06" w:rsidRDefault="00A14A03" w:rsidP="00AE2262">
            <w:pPr>
              <w:jc w:val="center"/>
              <w:rPr>
                <w:rFonts w:ascii="Times New Roman" w:eastAsia="Times New Roman" w:hAnsi="Times New Roman" w:cs="Times New Roman"/>
                <w:color w:val="000000"/>
              </w:rPr>
            </w:pPr>
            <w:r w:rsidRPr="007A5E01">
              <w:rPr>
                <w:rFonts w:ascii="Times New Roman" w:eastAsia="Times New Roman" w:hAnsi="Times New Roman" w:cs="Times New Roman"/>
                <w:color w:val="000000"/>
              </w:rPr>
              <w:t>1</w:t>
            </w:r>
            <w:r w:rsidRPr="00400D06">
              <w:rPr>
                <w:rFonts w:ascii="Times New Roman" w:eastAsia="Times New Roman" w:hAnsi="Times New Roman" w:cs="Times New Roman"/>
                <w:color w:val="000000"/>
              </w:rPr>
              <w:t>,381,570</w:t>
            </w:r>
          </w:p>
        </w:tc>
        <w:tc>
          <w:tcPr>
            <w:tcW w:w="1300" w:type="dxa"/>
            <w:tcBorders>
              <w:top w:val="nil"/>
              <w:left w:val="nil"/>
              <w:bottom w:val="nil"/>
              <w:right w:val="nil"/>
            </w:tcBorders>
            <w:shd w:val="clear" w:color="auto" w:fill="auto"/>
            <w:noWrap/>
            <w:vAlign w:val="bottom"/>
            <w:hideMark/>
          </w:tcPr>
          <w:p w14:paraId="45F59094" w14:textId="77777777" w:rsidR="00A14A03" w:rsidRPr="002C127D" w:rsidRDefault="00A14A03" w:rsidP="00AE2262">
            <w:pPr>
              <w:jc w:val="center"/>
              <w:rPr>
                <w:rFonts w:ascii="Times New Roman" w:eastAsia="Times New Roman" w:hAnsi="Times New Roman" w:cs="Times New Roman"/>
                <w:color w:val="000000"/>
              </w:rPr>
            </w:pPr>
            <w:r w:rsidRPr="00400D06">
              <w:rPr>
                <w:rFonts w:ascii="Times New Roman" w:eastAsia="Times New Roman" w:hAnsi="Times New Roman" w:cs="Times New Roman"/>
                <w:color w:val="000000"/>
              </w:rPr>
              <w:t>100</w:t>
            </w:r>
            <w:r w:rsidRPr="002C127D">
              <w:rPr>
                <w:rFonts w:ascii="Times New Roman" w:eastAsia="Times New Roman" w:hAnsi="Times New Roman" w:cs="Times New Roman"/>
                <w:color w:val="000000"/>
              </w:rPr>
              <w:t>,000</w:t>
            </w:r>
          </w:p>
        </w:tc>
        <w:tc>
          <w:tcPr>
            <w:tcW w:w="1300" w:type="dxa"/>
            <w:tcBorders>
              <w:top w:val="nil"/>
              <w:left w:val="nil"/>
              <w:bottom w:val="nil"/>
              <w:right w:val="nil"/>
            </w:tcBorders>
            <w:shd w:val="clear" w:color="auto" w:fill="auto"/>
            <w:noWrap/>
            <w:vAlign w:val="bottom"/>
            <w:hideMark/>
          </w:tcPr>
          <w:p w14:paraId="78B847B7" w14:textId="77777777" w:rsidR="00A14A03" w:rsidRPr="000E5813" w:rsidRDefault="00A14A03" w:rsidP="00AE2262">
            <w:pPr>
              <w:jc w:val="center"/>
              <w:rPr>
                <w:rFonts w:ascii="Times New Roman" w:eastAsia="Times New Roman" w:hAnsi="Times New Roman" w:cs="Times New Roman"/>
                <w:color w:val="000000"/>
              </w:rPr>
            </w:pPr>
            <w:r w:rsidRPr="000E33A5">
              <w:rPr>
                <w:rFonts w:ascii="Times New Roman" w:eastAsia="Times New Roman" w:hAnsi="Times New Roman" w:cs="Times New Roman"/>
                <w:color w:val="000000"/>
              </w:rPr>
              <w:t>176</w:t>
            </w:r>
            <w:r w:rsidRPr="00E339E4">
              <w:rPr>
                <w:rFonts w:ascii="Times New Roman" w:eastAsia="Times New Roman" w:hAnsi="Times New Roman" w:cs="Times New Roman"/>
                <w:color w:val="000000"/>
              </w:rPr>
              <w:t>,250</w:t>
            </w:r>
          </w:p>
        </w:tc>
        <w:tc>
          <w:tcPr>
            <w:tcW w:w="1300" w:type="dxa"/>
            <w:tcBorders>
              <w:top w:val="nil"/>
              <w:left w:val="nil"/>
              <w:bottom w:val="nil"/>
              <w:right w:val="nil"/>
            </w:tcBorders>
            <w:shd w:val="clear" w:color="auto" w:fill="auto"/>
            <w:noWrap/>
            <w:vAlign w:val="bottom"/>
            <w:hideMark/>
          </w:tcPr>
          <w:p w14:paraId="50A44266" w14:textId="77777777" w:rsidR="00A14A03" w:rsidRPr="00670396" w:rsidRDefault="00A14A03" w:rsidP="00AE2262">
            <w:pPr>
              <w:jc w:val="center"/>
              <w:rPr>
                <w:rFonts w:ascii="Times New Roman" w:eastAsia="Times New Roman" w:hAnsi="Times New Roman" w:cs="Times New Roman"/>
                <w:color w:val="000000"/>
              </w:rPr>
            </w:pPr>
            <w:r w:rsidRPr="00B935AF">
              <w:rPr>
                <w:rFonts w:ascii="Times New Roman" w:eastAsia="Times New Roman" w:hAnsi="Times New Roman" w:cs="Times New Roman"/>
                <w:color w:val="000000"/>
              </w:rPr>
              <w:t>768</w:t>
            </w:r>
            <w:r w:rsidRPr="00670396">
              <w:rPr>
                <w:rFonts w:ascii="Times New Roman" w:eastAsia="Times New Roman" w:hAnsi="Times New Roman" w:cs="Times New Roman"/>
                <w:color w:val="000000"/>
              </w:rPr>
              <w:t>,120</w:t>
            </w:r>
          </w:p>
        </w:tc>
        <w:tc>
          <w:tcPr>
            <w:tcW w:w="1300" w:type="dxa"/>
            <w:tcBorders>
              <w:top w:val="nil"/>
              <w:left w:val="nil"/>
              <w:bottom w:val="nil"/>
              <w:right w:val="nil"/>
            </w:tcBorders>
            <w:shd w:val="clear" w:color="auto" w:fill="auto"/>
            <w:noWrap/>
            <w:vAlign w:val="bottom"/>
            <w:hideMark/>
          </w:tcPr>
          <w:p w14:paraId="489413E7" w14:textId="77777777" w:rsidR="00A14A03" w:rsidRPr="00670396" w:rsidRDefault="00A14A03" w:rsidP="00AE2262">
            <w:pPr>
              <w:jc w:val="center"/>
              <w:rPr>
                <w:rFonts w:ascii="Times New Roman" w:eastAsia="Times New Roman" w:hAnsi="Times New Roman" w:cs="Times New Roman"/>
                <w:color w:val="000000"/>
              </w:rPr>
            </w:pPr>
            <w:r w:rsidRPr="00670396">
              <w:rPr>
                <w:rFonts w:ascii="Times New Roman" w:eastAsia="Times New Roman" w:hAnsi="Times New Roman" w:cs="Times New Roman"/>
                <w:color w:val="000000"/>
              </w:rPr>
              <w:t>284</w:t>
            </w:r>
          </w:p>
        </w:tc>
      </w:tr>
      <w:tr w:rsidR="00A14A03" w:rsidRPr="007A5E01" w14:paraId="1BC24D1F" w14:textId="77777777" w:rsidTr="00AE2262">
        <w:trPr>
          <w:trHeight w:val="300"/>
        </w:trPr>
        <w:tc>
          <w:tcPr>
            <w:tcW w:w="2100" w:type="dxa"/>
            <w:tcBorders>
              <w:top w:val="nil"/>
              <w:left w:val="nil"/>
              <w:bottom w:val="nil"/>
              <w:right w:val="nil"/>
            </w:tcBorders>
            <w:shd w:val="clear" w:color="auto" w:fill="auto"/>
            <w:noWrap/>
            <w:vAlign w:val="bottom"/>
            <w:hideMark/>
          </w:tcPr>
          <w:p w14:paraId="024DAACD" w14:textId="77777777" w:rsidR="00A14A03" w:rsidRPr="007A5E01" w:rsidRDefault="00A14A03" w:rsidP="00AE2262">
            <w:pPr>
              <w:rPr>
                <w:rFonts w:ascii="Times New Roman" w:eastAsia="Times New Roman" w:hAnsi="Times New Roman" w:cs="Times New Roman"/>
                <w:color w:val="000000"/>
              </w:rPr>
            </w:pPr>
          </w:p>
        </w:tc>
        <w:tc>
          <w:tcPr>
            <w:tcW w:w="1300" w:type="dxa"/>
            <w:tcBorders>
              <w:top w:val="nil"/>
              <w:left w:val="nil"/>
              <w:bottom w:val="nil"/>
              <w:right w:val="nil"/>
            </w:tcBorders>
            <w:shd w:val="clear" w:color="auto" w:fill="auto"/>
            <w:noWrap/>
            <w:vAlign w:val="bottom"/>
            <w:hideMark/>
          </w:tcPr>
          <w:p w14:paraId="789E1BD0" w14:textId="77777777" w:rsidR="00A14A03" w:rsidRPr="007A5E01" w:rsidRDefault="00A14A03" w:rsidP="00AE2262">
            <w:pPr>
              <w:jc w:val="center"/>
              <w:rPr>
                <w:rFonts w:ascii="Times New Roman" w:eastAsia="Times New Roman" w:hAnsi="Times New Roman" w:cs="Times New Roman"/>
                <w:color w:val="000000"/>
              </w:rPr>
            </w:pPr>
            <w:r w:rsidRPr="007A5E01">
              <w:rPr>
                <w:rFonts w:ascii="Times New Roman" w:eastAsia="Times New Roman" w:hAnsi="Times New Roman" w:cs="Times New Roman"/>
                <w:color w:val="000000"/>
              </w:rPr>
              <w:t>Yes</w:t>
            </w:r>
          </w:p>
        </w:tc>
        <w:tc>
          <w:tcPr>
            <w:tcW w:w="1300" w:type="dxa"/>
            <w:tcBorders>
              <w:top w:val="nil"/>
              <w:left w:val="nil"/>
              <w:bottom w:val="nil"/>
              <w:right w:val="nil"/>
            </w:tcBorders>
            <w:shd w:val="clear" w:color="auto" w:fill="auto"/>
            <w:noWrap/>
            <w:vAlign w:val="bottom"/>
            <w:hideMark/>
          </w:tcPr>
          <w:p w14:paraId="649DF43F" w14:textId="77777777" w:rsidR="00A14A03" w:rsidRPr="00400D06" w:rsidRDefault="00A14A03" w:rsidP="00AE2262">
            <w:pPr>
              <w:jc w:val="center"/>
              <w:rPr>
                <w:rFonts w:ascii="Times New Roman" w:eastAsia="Times New Roman" w:hAnsi="Times New Roman" w:cs="Times New Roman"/>
                <w:color w:val="000000"/>
              </w:rPr>
            </w:pPr>
            <w:r w:rsidRPr="007A5E01">
              <w:rPr>
                <w:rFonts w:ascii="Times New Roman" w:eastAsia="Times New Roman" w:hAnsi="Times New Roman" w:cs="Times New Roman"/>
                <w:color w:val="000000"/>
              </w:rPr>
              <w:t>328</w:t>
            </w:r>
            <w:r w:rsidRPr="00400D06">
              <w:rPr>
                <w:rFonts w:ascii="Times New Roman" w:eastAsia="Times New Roman" w:hAnsi="Times New Roman" w:cs="Times New Roman"/>
                <w:color w:val="000000"/>
              </w:rPr>
              <w:t>,109</w:t>
            </w:r>
          </w:p>
        </w:tc>
        <w:tc>
          <w:tcPr>
            <w:tcW w:w="1300" w:type="dxa"/>
            <w:tcBorders>
              <w:top w:val="nil"/>
              <w:left w:val="nil"/>
              <w:bottom w:val="nil"/>
              <w:right w:val="nil"/>
            </w:tcBorders>
            <w:shd w:val="clear" w:color="auto" w:fill="auto"/>
            <w:noWrap/>
            <w:vAlign w:val="bottom"/>
            <w:hideMark/>
          </w:tcPr>
          <w:p w14:paraId="1AB00535" w14:textId="77777777" w:rsidR="00A14A03" w:rsidRPr="002C127D" w:rsidRDefault="00A14A03" w:rsidP="00AE2262">
            <w:pPr>
              <w:jc w:val="center"/>
              <w:rPr>
                <w:rFonts w:ascii="Times New Roman" w:eastAsia="Times New Roman" w:hAnsi="Times New Roman" w:cs="Times New Roman"/>
                <w:color w:val="000000"/>
              </w:rPr>
            </w:pPr>
            <w:r w:rsidRPr="00400D06">
              <w:rPr>
                <w:rFonts w:ascii="Times New Roman" w:eastAsia="Times New Roman" w:hAnsi="Times New Roman" w:cs="Times New Roman"/>
                <w:color w:val="000000"/>
              </w:rPr>
              <w:t>80</w:t>
            </w:r>
            <w:r w:rsidRPr="002C127D">
              <w:rPr>
                <w:rFonts w:ascii="Times New Roman" w:eastAsia="Times New Roman" w:hAnsi="Times New Roman" w:cs="Times New Roman"/>
                <w:color w:val="000000"/>
              </w:rPr>
              <w:t>,000</w:t>
            </w:r>
          </w:p>
        </w:tc>
        <w:tc>
          <w:tcPr>
            <w:tcW w:w="1300" w:type="dxa"/>
            <w:tcBorders>
              <w:top w:val="nil"/>
              <w:left w:val="nil"/>
              <w:bottom w:val="nil"/>
              <w:right w:val="nil"/>
            </w:tcBorders>
            <w:shd w:val="clear" w:color="auto" w:fill="auto"/>
            <w:noWrap/>
            <w:vAlign w:val="bottom"/>
            <w:hideMark/>
          </w:tcPr>
          <w:p w14:paraId="6DC48071" w14:textId="77777777" w:rsidR="00A14A03" w:rsidRPr="000E5813" w:rsidRDefault="00A14A03" w:rsidP="00AE2262">
            <w:pPr>
              <w:jc w:val="center"/>
              <w:rPr>
                <w:rFonts w:ascii="Times New Roman" w:eastAsia="Times New Roman" w:hAnsi="Times New Roman" w:cs="Times New Roman"/>
                <w:color w:val="000000"/>
              </w:rPr>
            </w:pPr>
            <w:r w:rsidRPr="000E33A5">
              <w:rPr>
                <w:rFonts w:ascii="Times New Roman" w:eastAsia="Times New Roman" w:hAnsi="Times New Roman" w:cs="Times New Roman"/>
                <w:color w:val="000000"/>
              </w:rPr>
              <w:t>130</w:t>
            </w:r>
            <w:r w:rsidRPr="00E339E4">
              <w:rPr>
                <w:rFonts w:ascii="Times New Roman" w:eastAsia="Times New Roman" w:hAnsi="Times New Roman" w:cs="Times New Roman"/>
                <w:color w:val="000000"/>
              </w:rPr>
              <w:t>,000</w:t>
            </w:r>
          </w:p>
        </w:tc>
        <w:tc>
          <w:tcPr>
            <w:tcW w:w="1300" w:type="dxa"/>
            <w:tcBorders>
              <w:top w:val="nil"/>
              <w:left w:val="nil"/>
              <w:bottom w:val="nil"/>
              <w:right w:val="nil"/>
            </w:tcBorders>
            <w:shd w:val="clear" w:color="auto" w:fill="auto"/>
            <w:noWrap/>
            <w:vAlign w:val="bottom"/>
            <w:hideMark/>
          </w:tcPr>
          <w:p w14:paraId="2680661D" w14:textId="77777777" w:rsidR="00A14A03" w:rsidRPr="00670396" w:rsidRDefault="00A14A03" w:rsidP="00AE2262">
            <w:pPr>
              <w:jc w:val="center"/>
              <w:rPr>
                <w:rFonts w:ascii="Times New Roman" w:eastAsia="Times New Roman" w:hAnsi="Times New Roman" w:cs="Times New Roman"/>
                <w:color w:val="000000"/>
              </w:rPr>
            </w:pPr>
            <w:r w:rsidRPr="00B935AF">
              <w:rPr>
                <w:rFonts w:ascii="Times New Roman" w:eastAsia="Times New Roman" w:hAnsi="Times New Roman" w:cs="Times New Roman"/>
                <w:color w:val="000000"/>
              </w:rPr>
              <w:t>255</w:t>
            </w:r>
            <w:r w:rsidRPr="00670396">
              <w:rPr>
                <w:rFonts w:ascii="Times New Roman" w:eastAsia="Times New Roman" w:hAnsi="Times New Roman" w:cs="Times New Roman"/>
                <w:color w:val="000000"/>
              </w:rPr>
              <w:t>,000</w:t>
            </w:r>
          </w:p>
        </w:tc>
        <w:tc>
          <w:tcPr>
            <w:tcW w:w="1300" w:type="dxa"/>
            <w:tcBorders>
              <w:top w:val="nil"/>
              <w:left w:val="nil"/>
              <w:bottom w:val="nil"/>
              <w:right w:val="nil"/>
            </w:tcBorders>
            <w:shd w:val="clear" w:color="auto" w:fill="auto"/>
            <w:noWrap/>
            <w:vAlign w:val="bottom"/>
            <w:hideMark/>
          </w:tcPr>
          <w:p w14:paraId="26DA3224" w14:textId="77777777" w:rsidR="00A14A03" w:rsidRPr="00670396" w:rsidRDefault="00A14A03" w:rsidP="00AE2262">
            <w:pPr>
              <w:jc w:val="center"/>
              <w:rPr>
                <w:rFonts w:ascii="Times New Roman" w:eastAsia="Times New Roman" w:hAnsi="Times New Roman" w:cs="Times New Roman"/>
                <w:color w:val="000000"/>
              </w:rPr>
            </w:pPr>
            <w:r w:rsidRPr="00670396">
              <w:rPr>
                <w:rFonts w:ascii="Times New Roman" w:eastAsia="Times New Roman" w:hAnsi="Times New Roman" w:cs="Times New Roman"/>
                <w:color w:val="000000"/>
              </w:rPr>
              <w:t>384</w:t>
            </w:r>
          </w:p>
        </w:tc>
      </w:tr>
      <w:tr w:rsidR="00A14A03" w:rsidRPr="007A5E01" w14:paraId="0F597986" w14:textId="77777777" w:rsidTr="00AE2262">
        <w:trPr>
          <w:trHeight w:val="300"/>
        </w:trPr>
        <w:tc>
          <w:tcPr>
            <w:tcW w:w="2100" w:type="dxa"/>
            <w:tcBorders>
              <w:top w:val="nil"/>
              <w:left w:val="nil"/>
              <w:bottom w:val="nil"/>
              <w:right w:val="nil"/>
            </w:tcBorders>
            <w:shd w:val="clear" w:color="auto" w:fill="auto"/>
            <w:noWrap/>
            <w:vAlign w:val="bottom"/>
            <w:hideMark/>
          </w:tcPr>
          <w:p w14:paraId="08156107" w14:textId="77777777" w:rsidR="00A14A03" w:rsidRPr="007A5E01" w:rsidRDefault="00A14A03" w:rsidP="00AE2262">
            <w:pPr>
              <w:rPr>
                <w:rFonts w:ascii="Times New Roman" w:eastAsia="Times New Roman" w:hAnsi="Times New Roman" w:cs="Times New Roman"/>
                <w:color w:val="000000"/>
              </w:rPr>
            </w:pPr>
          </w:p>
        </w:tc>
        <w:tc>
          <w:tcPr>
            <w:tcW w:w="1300" w:type="dxa"/>
            <w:tcBorders>
              <w:top w:val="nil"/>
              <w:left w:val="nil"/>
              <w:bottom w:val="nil"/>
              <w:right w:val="nil"/>
            </w:tcBorders>
            <w:shd w:val="clear" w:color="auto" w:fill="auto"/>
            <w:noWrap/>
            <w:vAlign w:val="bottom"/>
            <w:hideMark/>
          </w:tcPr>
          <w:p w14:paraId="3737F6F3" w14:textId="77777777" w:rsidR="00A14A03" w:rsidRPr="007A5E01" w:rsidRDefault="00A14A03" w:rsidP="00AE2262">
            <w:pPr>
              <w:jc w:val="center"/>
              <w:rPr>
                <w:rFonts w:ascii="Times New Roman" w:eastAsia="Times New Roman" w:hAnsi="Times New Roman" w:cs="Times New Roman"/>
                <w:color w:val="000000"/>
              </w:rPr>
            </w:pPr>
            <w:r w:rsidRPr="007A5E01">
              <w:rPr>
                <w:rFonts w:ascii="Times New Roman" w:eastAsia="Times New Roman" w:hAnsi="Times New Roman" w:cs="Times New Roman"/>
                <w:color w:val="000000"/>
              </w:rPr>
              <w:t>p value</w:t>
            </w:r>
          </w:p>
        </w:tc>
        <w:tc>
          <w:tcPr>
            <w:tcW w:w="1300" w:type="dxa"/>
            <w:tcBorders>
              <w:top w:val="nil"/>
              <w:left w:val="nil"/>
              <w:bottom w:val="nil"/>
              <w:right w:val="nil"/>
            </w:tcBorders>
            <w:shd w:val="clear" w:color="auto" w:fill="auto"/>
            <w:noWrap/>
            <w:vAlign w:val="bottom"/>
            <w:hideMark/>
          </w:tcPr>
          <w:p w14:paraId="7909A4F6" w14:textId="77777777" w:rsidR="00A14A03" w:rsidRPr="00400D06" w:rsidRDefault="00A14A03" w:rsidP="00AE2262">
            <w:pPr>
              <w:jc w:val="center"/>
              <w:rPr>
                <w:rFonts w:ascii="Times New Roman" w:eastAsia="Times New Roman" w:hAnsi="Times New Roman" w:cs="Times New Roman"/>
                <w:color w:val="000000"/>
              </w:rPr>
            </w:pPr>
            <w:r w:rsidRPr="007A5E01">
              <w:rPr>
                <w:rFonts w:ascii="Times New Roman" w:eastAsia="Times New Roman" w:hAnsi="Times New Roman" w:cs="Times New Roman"/>
                <w:color w:val="000000"/>
              </w:rPr>
              <w:t>0.00***</w:t>
            </w:r>
          </w:p>
        </w:tc>
        <w:tc>
          <w:tcPr>
            <w:tcW w:w="1300" w:type="dxa"/>
            <w:tcBorders>
              <w:top w:val="nil"/>
              <w:left w:val="nil"/>
              <w:bottom w:val="nil"/>
              <w:right w:val="nil"/>
            </w:tcBorders>
            <w:shd w:val="clear" w:color="auto" w:fill="auto"/>
            <w:noWrap/>
            <w:vAlign w:val="bottom"/>
            <w:hideMark/>
          </w:tcPr>
          <w:p w14:paraId="020A65A9" w14:textId="77777777" w:rsidR="00A14A03" w:rsidRPr="00400D06" w:rsidRDefault="00A14A03" w:rsidP="00AE2262">
            <w:pPr>
              <w:jc w:val="center"/>
              <w:rPr>
                <w:rFonts w:ascii="Times New Roman" w:eastAsia="Times New Roman" w:hAnsi="Times New Roman" w:cs="Times New Roman"/>
                <w:color w:val="000000"/>
              </w:rPr>
            </w:pPr>
          </w:p>
        </w:tc>
        <w:tc>
          <w:tcPr>
            <w:tcW w:w="1300" w:type="dxa"/>
            <w:tcBorders>
              <w:top w:val="nil"/>
              <w:left w:val="nil"/>
              <w:bottom w:val="nil"/>
              <w:right w:val="nil"/>
            </w:tcBorders>
            <w:shd w:val="clear" w:color="auto" w:fill="auto"/>
            <w:noWrap/>
            <w:vAlign w:val="bottom"/>
            <w:hideMark/>
          </w:tcPr>
          <w:p w14:paraId="63EAB446" w14:textId="77777777" w:rsidR="00A14A03" w:rsidRPr="002C127D" w:rsidRDefault="00A14A03" w:rsidP="00AE2262">
            <w:pPr>
              <w:jc w:val="center"/>
              <w:rPr>
                <w:rFonts w:ascii="Times New Roman" w:eastAsia="Times New Roman" w:hAnsi="Times New Roman" w:cs="Times New Roman"/>
                <w:color w:val="000000"/>
              </w:rPr>
            </w:pPr>
            <w:r w:rsidRPr="002C127D">
              <w:rPr>
                <w:rFonts w:ascii="Times New Roman" w:eastAsia="Times New Roman" w:hAnsi="Times New Roman" w:cs="Times New Roman"/>
                <w:color w:val="000000"/>
              </w:rPr>
              <w:t>0.00***</w:t>
            </w:r>
          </w:p>
        </w:tc>
        <w:tc>
          <w:tcPr>
            <w:tcW w:w="1300" w:type="dxa"/>
            <w:tcBorders>
              <w:top w:val="nil"/>
              <w:left w:val="nil"/>
              <w:bottom w:val="nil"/>
              <w:right w:val="nil"/>
            </w:tcBorders>
            <w:shd w:val="clear" w:color="auto" w:fill="auto"/>
            <w:noWrap/>
            <w:vAlign w:val="bottom"/>
            <w:hideMark/>
          </w:tcPr>
          <w:p w14:paraId="3E12BDE5" w14:textId="77777777" w:rsidR="00A14A03" w:rsidRPr="000E33A5" w:rsidRDefault="00A14A03" w:rsidP="00AE2262">
            <w:pPr>
              <w:jc w:val="center"/>
              <w:rPr>
                <w:rFonts w:ascii="Times New Roman" w:eastAsia="Times New Roman" w:hAnsi="Times New Roman" w:cs="Times New Roman"/>
                <w:color w:val="000000"/>
              </w:rPr>
            </w:pPr>
          </w:p>
        </w:tc>
        <w:tc>
          <w:tcPr>
            <w:tcW w:w="1300" w:type="dxa"/>
            <w:tcBorders>
              <w:top w:val="nil"/>
              <w:left w:val="nil"/>
              <w:bottom w:val="nil"/>
              <w:right w:val="nil"/>
            </w:tcBorders>
            <w:shd w:val="clear" w:color="auto" w:fill="auto"/>
            <w:noWrap/>
            <w:vAlign w:val="bottom"/>
            <w:hideMark/>
          </w:tcPr>
          <w:p w14:paraId="700BCA36" w14:textId="77777777" w:rsidR="00A14A03" w:rsidRPr="00E339E4" w:rsidRDefault="00A14A03" w:rsidP="00AE2262">
            <w:pPr>
              <w:jc w:val="center"/>
              <w:rPr>
                <w:rFonts w:ascii="Times New Roman" w:eastAsia="Times New Roman" w:hAnsi="Times New Roman" w:cs="Times New Roman"/>
                <w:color w:val="000000"/>
              </w:rPr>
            </w:pPr>
          </w:p>
        </w:tc>
      </w:tr>
      <w:tr w:rsidR="00A14A03" w:rsidRPr="007A5E01" w14:paraId="56842D0A" w14:textId="77777777" w:rsidTr="00AE2262">
        <w:trPr>
          <w:trHeight w:val="300"/>
        </w:trPr>
        <w:tc>
          <w:tcPr>
            <w:tcW w:w="2100" w:type="dxa"/>
            <w:tcBorders>
              <w:top w:val="nil"/>
              <w:left w:val="nil"/>
              <w:bottom w:val="nil"/>
              <w:right w:val="nil"/>
            </w:tcBorders>
            <w:shd w:val="clear" w:color="auto" w:fill="auto"/>
            <w:noWrap/>
            <w:vAlign w:val="bottom"/>
            <w:hideMark/>
          </w:tcPr>
          <w:p w14:paraId="7697BF8D" w14:textId="77777777" w:rsidR="00A14A03" w:rsidRPr="007A5E01" w:rsidRDefault="00A14A03" w:rsidP="00AE2262">
            <w:pPr>
              <w:rPr>
                <w:rFonts w:ascii="Times New Roman" w:eastAsia="Times New Roman" w:hAnsi="Times New Roman" w:cs="Times New Roman"/>
                <w:color w:val="000000"/>
              </w:rPr>
            </w:pPr>
            <w:r w:rsidRPr="007A5E01">
              <w:rPr>
                <w:rFonts w:ascii="Times New Roman" w:eastAsia="Times New Roman" w:hAnsi="Times New Roman" w:cs="Times New Roman"/>
                <w:color w:val="000000"/>
              </w:rPr>
              <w:t>R&amp;D/Sales</w:t>
            </w:r>
          </w:p>
        </w:tc>
        <w:tc>
          <w:tcPr>
            <w:tcW w:w="1300" w:type="dxa"/>
            <w:tcBorders>
              <w:top w:val="nil"/>
              <w:left w:val="nil"/>
              <w:bottom w:val="nil"/>
              <w:right w:val="nil"/>
            </w:tcBorders>
            <w:shd w:val="clear" w:color="auto" w:fill="auto"/>
            <w:noWrap/>
            <w:vAlign w:val="bottom"/>
            <w:hideMark/>
          </w:tcPr>
          <w:p w14:paraId="369C7511" w14:textId="77777777" w:rsidR="00A14A03" w:rsidRPr="007A5E01" w:rsidRDefault="00A14A03" w:rsidP="00AE2262">
            <w:pPr>
              <w:jc w:val="center"/>
              <w:rPr>
                <w:rFonts w:ascii="Times New Roman" w:eastAsia="Times New Roman" w:hAnsi="Times New Roman" w:cs="Times New Roman"/>
                <w:color w:val="000000"/>
              </w:rPr>
            </w:pPr>
            <w:r w:rsidRPr="007A5E01">
              <w:rPr>
                <w:rFonts w:ascii="Times New Roman" w:eastAsia="Times New Roman" w:hAnsi="Times New Roman" w:cs="Times New Roman"/>
                <w:color w:val="000000"/>
              </w:rPr>
              <w:t>No</w:t>
            </w:r>
          </w:p>
        </w:tc>
        <w:tc>
          <w:tcPr>
            <w:tcW w:w="1300" w:type="dxa"/>
            <w:tcBorders>
              <w:top w:val="nil"/>
              <w:left w:val="nil"/>
              <w:bottom w:val="nil"/>
              <w:right w:val="nil"/>
            </w:tcBorders>
            <w:shd w:val="clear" w:color="auto" w:fill="auto"/>
            <w:noWrap/>
            <w:vAlign w:val="bottom"/>
            <w:hideMark/>
          </w:tcPr>
          <w:p w14:paraId="2B43D5EF" w14:textId="77777777" w:rsidR="00A14A03" w:rsidRPr="00400D06" w:rsidRDefault="00A14A03" w:rsidP="00AE2262">
            <w:pPr>
              <w:jc w:val="center"/>
              <w:rPr>
                <w:rFonts w:ascii="Times New Roman" w:eastAsia="Times New Roman" w:hAnsi="Times New Roman" w:cs="Times New Roman"/>
                <w:color w:val="000000"/>
              </w:rPr>
            </w:pPr>
            <w:r w:rsidRPr="007A5E01">
              <w:rPr>
                <w:rFonts w:ascii="Times New Roman" w:eastAsia="Times New Roman" w:hAnsi="Times New Roman" w:cs="Times New Roman"/>
                <w:color w:val="000000"/>
              </w:rPr>
              <w:t>48</w:t>
            </w:r>
            <w:r w:rsidRPr="00400D06">
              <w:rPr>
                <w:rFonts w:ascii="Times New Roman" w:eastAsia="Times New Roman" w:hAnsi="Times New Roman" w:cs="Times New Roman"/>
                <w:color w:val="000000"/>
              </w:rPr>
              <w:t>.30</w:t>
            </w:r>
          </w:p>
        </w:tc>
        <w:tc>
          <w:tcPr>
            <w:tcW w:w="1300" w:type="dxa"/>
            <w:tcBorders>
              <w:top w:val="nil"/>
              <w:left w:val="nil"/>
              <w:bottom w:val="nil"/>
              <w:right w:val="nil"/>
            </w:tcBorders>
            <w:shd w:val="clear" w:color="auto" w:fill="auto"/>
            <w:noWrap/>
            <w:vAlign w:val="bottom"/>
            <w:hideMark/>
          </w:tcPr>
          <w:p w14:paraId="6472F39C" w14:textId="77777777" w:rsidR="00A14A03" w:rsidRPr="002C127D" w:rsidRDefault="00A14A03" w:rsidP="00AE2262">
            <w:pPr>
              <w:jc w:val="center"/>
              <w:rPr>
                <w:rFonts w:ascii="Times New Roman" w:eastAsia="Times New Roman" w:hAnsi="Times New Roman" w:cs="Times New Roman"/>
                <w:color w:val="000000"/>
              </w:rPr>
            </w:pPr>
            <w:r w:rsidRPr="00400D06">
              <w:rPr>
                <w:rFonts w:ascii="Times New Roman" w:eastAsia="Times New Roman" w:hAnsi="Times New Roman" w:cs="Times New Roman"/>
                <w:color w:val="000000"/>
              </w:rPr>
              <w:t>0.7</w:t>
            </w:r>
            <w:r w:rsidRPr="002C127D">
              <w:rPr>
                <w:rFonts w:ascii="Times New Roman" w:eastAsia="Times New Roman" w:hAnsi="Times New Roman" w:cs="Times New Roman"/>
                <w:color w:val="000000"/>
              </w:rPr>
              <w:t>5</w:t>
            </w:r>
          </w:p>
        </w:tc>
        <w:tc>
          <w:tcPr>
            <w:tcW w:w="1300" w:type="dxa"/>
            <w:tcBorders>
              <w:top w:val="nil"/>
              <w:left w:val="nil"/>
              <w:bottom w:val="nil"/>
              <w:right w:val="nil"/>
            </w:tcBorders>
            <w:shd w:val="clear" w:color="auto" w:fill="auto"/>
            <w:noWrap/>
            <w:vAlign w:val="bottom"/>
            <w:hideMark/>
          </w:tcPr>
          <w:p w14:paraId="28F893F2" w14:textId="77777777" w:rsidR="00A14A03" w:rsidRPr="00E339E4" w:rsidRDefault="00A14A03" w:rsidP="00AE2262">
            <w:pPr>
              <w:jc w:val="center"/>
              <w:rPr>
                <w:rFonts w:ascii="Times New Roman" w:eastAsia="Times New Roman" w:hAnsi="Times New Roman" w:cs="Times New Roman"/>
                <w:color w:val="000000"/>
              </w:rPr>
            </w:pPr>
            <w:r w:rsidRPr="000E33A5">
              <w:rPr>
                <w:rFonts w:ascii="Times New Roman" w:eastAsia="Times New Roman" w:hAnsi="Times New Roman" w:cs="Times New Roman"/>
                <w:color w:val="000000"/>
              </w:rPr>
              <w:t>4.8</w:t>
            </w:r>
            <w:r w:rsidRPr="00E339E4">
              <w:rPr>
                <w:rFonts w:ascii="Times New Roman" w:eastAsia="Times New Roman" w:hAnsi="Times New Roman" w:cs="Times New Roman"/>
                <w:color w:val="000000"/>
              </w:rPr>
              <w:t>8</w:t>
            </w:r>
          </w:p>
        </w:tc>
        <w:tc>
          <w:tcPr>
            <w:tcW w:w="1300" w:type="dxa"/>
            <w:tcBorders>
              <w:top w:val="nil"/>
              <w:left w:val="nil"/>
              <w:bottom w:val="nil"/>
              <w:right w:val="nil"/>
            </w:tcBorders>
            <w:shd w:val="clear" w:color="auto" w:fill="auto"/>
            <w:noWrap/>
            <w:vAlign w:val="bottom"/>
            <w:hideMark/>
          </w:tcPr>
          <w:p w14:paraId="63507072" w14:textId="77777777" w:rsidR="00A14A03" w:rsidRPr="000E5813" w:rsidRDefault="00A14A03" w:rsidP="00AE2262">
            <w:pPr>
              <w:jc w:val="center"/>
              <w:rPr>
                <w:rFonts w:ascii="Times New Roman" w:eastAsia="Times New Roman" w:hAnsi="Times New Roman" w:cs="Times New Roman"/>
                <w:color w:val="000000"/>
              </w:rPr>
            </w:pPr>
            <w:r w:rsidRPr="000E5813">
              <w:rPr>
                <w:rFonts w:ascii="Times New Roman" w:eastAsia="Times New Roman" w:hAnsi="Times New Roman" w:cs="Times New Roman"/>
                <w:color w:val="000000"/>
              </w:rPr>
              <w:t>12.19</w:t>
            </w:r>
          </w:p>
        </w:tc>
        <w:tc>
          <w:tcPr>
            <w:tcW w:w="1300" w:type="dxa"/>
            <w:tcBorders>
              <w:top w:val="nil"/>
              <w:left w:val="nil"/>
              <w:bottom w:val="nil"/>
              <w:right w:val="nil"/>
            </w:tcBorders>
            <w:shd w:val="clear" w:color="auto" w:fill="auto"/>
            <w:noWrap/>
            <w:vAlign w:val="bottom"/>
            <w:hideMark/>
          </w:tcPr>
          <w:p w14:paraId="1FF6B4D6" w14:textId="77777777" w:rsidR="00A14A03" w:rsidRPr="00B935AF" w:rsidRDefault="00A14A03" w:rsidP="00AE2262">
            <w:pPr>
              <w:jc w:val="center"/>
              <w:rPr>
                <w:rFonts w:ascii="Times New Roman" w:eastAsia="Times New Roman" w:hAnsi="Times New Roman" w:cs="Times New Roman"/>
                <w:color w:val="000000"/>
              </w:rPr>
            </w:pPr>
            <w:r w:rsidRPr="00B935AF">
              <w:rPr>
                <w:rFonts w:ascii="Times New Roman" w:eastAsia="Times New Roman" w:hAnsi="Times New Roman" w:cs="Times New Roman"/>
                <w:color w:val="000000"/>
              </w:rPr>
              <w:t>284</w:t>
            </w:r>
          </w:p>
        </w:tc>
      </w:tr>
      <w:tr w:rsidR="00A14A03" w:rsidRPr="007A5E01" w14:paraId="50E9B855" w14:textId="77777777" w:rsidTr="00AE2262">
        <w:trPr>
          <w:trHeight w:val="300"/>
        </w:trPr>
        <w:tc>
          <w:tcPr>
            <w:tcW w:w="2100" w:type="dxa"/>
            <w:tcBorders>
              <w:top w:val="nil"/>
              <w:left w:val="nil"/>
              <w:bottom w:val="nil"/>
              <w:right w:val="nil"/>
            </w:tcBorders>
            <w:shd w:val="clear" w:color="auto" w:fill="auto"/>
            <w:noWrap/>
            <w:vAlign w:val="bottom"/>
            <w:hideMark/>
          </w:tcPr>
          <w:p w14:paraId="27C0B46C" w14:textId="77777777" w:rsidR="00A14A03" w:rsidRPr="007A5E01" w:rsidRDefault="00A14A03" w:rsidP="00AE2262">
            <w:pPr>
              <w:rPr>
                <w:rFonts w:ascii="Times New Roman" w:eastAsia="Times New Roman" w:hAnsi="Times New Roman" w:cs="Times New Roman"/>
                <w:color w:val="000000"/>
              </w:rPr>
            </w:pPr>
          </w:p>
        </w:tc>
        <w:tc>
          <w:tcPr>
            <w:tcW w:w="1300" w:type="dxa"/>
            <w:tcBorders>
              <w:top w:val="nil"/>
              <w:left w:val="nil"/>
              <w:bottom w:val="nil"/>
              <w:right w:val="nil"/>
            </w:tcBorders>
            <w:shd w:val="clear" w:color="auto" w:fill="auto"/>
            <w:noWrap/>
            <w:vAlign w:val="bottom"/>
            <w:hideMark/>
          </w:tcPr>
          <w:p w14:paraId="26D65A45" w14:textId="77777777" w:rsidR="00A14A03" w:rsidRPr="007A5E01" w:rsidRDefault="00A14A03" w:rsidP="00AE2262">
            <w:pPr>
              <w:jc w:val="center"/>
              <w:rPr>
                <w:rFonts w:ascii="Times New Roman" w:eastAsia="Times New Roman" w:hAnsi="Times New Roman" w:cs="Times New Roman"/>
                <w:color w:val="000000"/>
              </w:rPr>
            </w:pPr>
            <w:r w:rsidRPr="007A5E01">
              <w:rPr>
                <w:rFonts w:ascii="Times New Roman" w:eastAsia="Times New Roman" w:hAnsi="Times New Roman" w:cs="Times New Roman"/>
                <w:color w:val="000000"/>
              </w:rPr>
              <w:t>Yes</w:t>
            </w:r>
          </w:p>
        </w:tc>
        <w:tc>
          <w:tcPr>
            <w:tcW w:w="1300" w:type="dxa"/>
            <w:tcBorders>
              <w:top w:val="nil"/>
              <w:left w:val="nil"/>
              <w:bottom w:val="nil"/>
              <w:right w:val="nil"/>
            </w:tcBorders>
            <w:shd w:val="clear" w:color="auto" w:fill="auto"/>
            <w:noWrap/>
            <w:vAlign w:val="bottom"/>
            <w:hideMark/>
          </w:tcPr>
          <w:p w14:paraId="0851C40A" w14:textId="77777777" w:rsidR="00A14A03" w:rsidRPr="00400D06" w:rsidRDefault="00A14A03" w:rsidP="00AE2262">
            <w:pPr>
              <w:jc w:val="center"/>
              <w:rPr>
                <w:rFonts w:ascii="Times New Roman" w:eastAsia="Times New Roman" w:hAnsi="Times New Roman" w:cs="Times New Roman"/>
                <w:color w:val="000000"/>
              </w:rPr>
            </w:pPr>
            <w:r w:rsidRPr="007A5E01">
              <w:rPr>
                <w:rFonts w:ascii="Times New Roman" w:eastAsia="Times New Roman" w:hAnsi="Times New Roman" w:cs="Times New Roman"/>
                <w:color w:val="000000"/>
              </w:rPr>
              <w:t>183.82</w:t>
            </w:r>
          </w:p>
        </w:tc>
        <w:tc>
          <w:tcPr>
            <w:tcW w:w="1300" w:type="dxa"/>
            <w:tcBorders>
              <w:top w:val="nil"/>
              <w:left w:val="nil"/>
              <w:bottom w:val="nil"/>
              <w:right w:val="nil"/>
            </w:tcBorders>
            <w:shd w:val="clear" w:color="auto" w:fill="auto"/>
            <w:noWrap/>
            <w:vAlign w:val="bottom"/>
            <w:hideMark/>
          </w:tcPr>
          <w:p w14:paraId="43DA653C" w14:textId="77777777" w:rsidR="00A14A03" w:rsidRPr="00400D06" w:rsidRDefault="00A14A03" w:rsidP="00AE2262">
            <w:pPr>
              <w:jc w:val="center"/>
              <w:rPr>
                <w:rFonts w:ascii="Times New Roman" w:eastAsia="Times New Roman" w:hAnsi="Times New Roman" w:cs="Times New Roman"/>
                <w:color w:val="000000"/>
              </w:rPr>
            </w:pPr>
            <w:r w:rsidRPr="00400D06">
              <w:rPr>
                <w:rFonts w:ascii="Times New Roman" w:eastAsia="Times New Roman" w:hAnsi="Times New Roman" w:cs="Times New Roman"/>
                <w:color w:val="000000"/>
              </w:rPr>
              <w:t>3.94</w:t>
            </w:r>
          </w:p>
        </w:tc>
        <w:tc>
          <w:tcPr>
            <w:tcW w:w="1300" w:type="dxa"/>
            <w:tcBorders>
              <w:top w:val="nil"/>
              <w:left w:val="nil"/>
              <w:bottom w:val="nil"/>
              <w:right w:val="nil"/>
            </w:tcBorders>
            <w:shd w:val="clear" w:color="auto" w:fill="auto"/>
            <w:noWrap/>
            <w:vAlign w:val="bottom"/>
            <w:hideMark/>
          </w:tcPr>
          <w:p w14:paraId="2C6A9214" w14:textId="77777777" w:rsidR="00A14A03" w:rsidRPr="002C127D" w:rsidRDefault="00A14A03" w:rsidP="00AE2262">
            <w:pPr>
              <w:jc w:val="center"/>
              <w:rPr>
                <w:rFonts w:ascii="Times New Roman" w:eastAsia="Times New Roman" w:hAnsi="Times New Roman" w:cs="Times New Roman"/>
                <w:color w:val="000000"/>
              </w:rPr>
            </w:pPr>
            <w:r w:rsidRPr="002C127D">
              <w:rPr>
                <w:rFonts w:ascii="Times New Roman" w:eastAsia="Times New Roman" w:hAnsi="Times New Roman" w:cs="Times New Roman"/>
                <w:color w:val="000000"/>
              </w:rPr>
              <w:t>10.64</w:t>
            </w:r>
          </w:p>
        </w:tc>
        <w:tc>
          <w:tcPr>
            <w:tcW w:w="1300" w:type="dxa"/>
            <w:tcBorders>
              <w:top w:val="nil"/>
              <w:left w:val="nil"/>
              <w:bottom w:val="nil"/>
              <w:right w:val="nil"/>
            </w:tcBorders>
            <w:shd w:val="clear" w:color="auto" w:fill="auto"/>
            <w:noWrap/>
            <w:vAlign w:val="bottom"/>
            <w:hideMark/>
          </w:tcPr>
          <w:p w14:paraId="0F72D698" w14:textId="77777777" w:rsidR="00A14A03" w:rsidRPr="000E33A5" w:rsidRDefault="00A14A03" w:rsidP="00AE2262">
            <w:pPr>
              <w:jc w:val="center"/>
              <w:rPr>
                <w:rFonts w:ascii="Times New Roman" w:eastAsia="Times New Roman" w:hAnsi="Times New Roman" w:cs="Times New Roman"/>
                <w:color w:val="000000"/>
              </w:rPr>
            </w:pPr>
            <w:r w:rsidRPr="000E33A5">
              <w:rPr>
                <w:rFonts w:ascii="Times New Roman" w:eastAsia="Times New Roman" w:hAnsi="Times New Roman" w:cs="Times New Roman"/>
                <w:color w:val="000000"/>
              </w:rPr>
              <w:t>25.60</w:t>
            </w:r>
          </w:p>
        </w:tc>
        <w:tc>
          <w:tcPr>
            <w:tcW w:w="1300" w:type="dxa"/>
            <w:tcBorders>
              <w:top w:val="nil"/>
              <w:left w:val="nil"/>
              <w:bottom w:val="nil"/>
              <w:right w:val="nil"/>
            </w:tcBorders>
            <w:shd w:val="clear" w:color="auto" w:fill="auto"/>
            <w:noWrap/>
            <w:vAlign w:val="bottom"/>
            <w:hideMark/>
          </w:tcPr>
          <w:p w14:paraId="439F4A14" w14:textId="77777777" w:rsidR="00A14A03" w:rsidRPr="00E339E4" w:rsidRDefault="00A14A03" w:rsidP="00AE2262">
            <w:pPr>
              <w:jc w:val="center"/>
              <w:rPr>
                <w:rFonts w:ascii="Times New Roman" w:eastAsia="Times New Roman" w:hAnsi="Times New Roman" w:cs="Times New Roman"/>
                <w:color w:val="000000"/>
              </w:rPr>
            </w:pPr>
            <w:r w:rsidRPr="00E339E4">
              <w:rPr>
                <w:rFonts w:ascii="Times New Roman" w:eastAsia="Times New Roman" w:hAnsi="Times New Roman" w:cs="Times New Roman"/>
                <w:color w:val="000000"/>
              </w:rPr>
              <w:t>384</w:t>
            </w:r>
          </w:p>
        </w:tc>
      </w:tr>
      <w:tr w:rsidR="00A14A03" w:rsidRPr="007A5E01" w14:paraId="52DE01E2" w14:textId="77777777" w:rsidTr="00AE2262">
        <w:trPr>
          <w:trHeight w:val="300"/>
        </w:trPr>
        <w:tc>
          <w:tcPr>
            <w:tcW w:w="2100" w:type="dxa"/>
            <w:tcBorders>
              <w:top w:val="nil"/>
              <w:left w:val="nil"/>
              <w:bottom w:val="nil"/>
              <w:right w:val="nil"/>
            </w:tcBorders>
            <w:shd w:val="clear" w:color="auto" w:fill="auto"/>
            <w:noWrap/>
            <w:vAlign w:val="bottom"/>
            <w:hideMark/>
          </w:tcPr>
          <w:p w14:paraId="31517144" w14:textId="77777777" w:rsidR="00A14A03" w:rsidRPr="007A5E01" w:rsidRDefault="00A14A03" w:rsidP="00AE2262">
            <w:pPr>
              <w:rPr>
                <w:rFonts w:ascii="Times New Roman" w:eastAsia="Times New Roman" w:hAnsi="Times New Roman" w:cs="Times New Roman"/>
                <w:color w:val="000000"/>
              </w:rPr>
            </w:pPr>
          </w:p>
        </w:tc>
        <w:tc>
          <w:tcPr>
            <w:tcW w:w="1300" w:type="dxa"/>
            <w:tcBorders>
              <w:top w:val="nil"/>
              <w:left w:val="nil"/>
              <w:bottom w:val="nil"/>
              <w:right w:val="nil"/>
            </w:tcBorders>
            <w:shd w:val="clear" w:color="auto" w:fill="auto"/>
            <w:noWrap/>
            <w:vAlign w:val="bottom"/>
            <w:hideMark/>
          </w:tcPr>
          <w:p w14:paraId="1C73161F" w14:textId="77777777" w:rsidR="00A14A03" w:rsidRPr="007A5E01" w:rsidRDefault="00A14A03" w:rsidP="00AE2262">
            <w:pPr>
              <w:jc w:val="center"/>
              <w:rPr>
                <w:rFonts w:ascii="Times New Roman" w:eastAsia="Times New Roman" w:hAnsi="Times New Roman" w:cs="Times New Roman"/>
                <w:color w:val="000000"/>
              </w:rPr>
            </w:pPr>
            <w:r w:rsidRPr="007A5E01">
              <w:rPr>
                <w:rFonts w:ascii="Times New Roman" w:eastAsia="Times New Roman" w:hAnsi="Times New Roman" w:cs="Times New Roman"/>
                <w:color w:val="000000"/>
              </w:rPr>
              <w:t>p value</w:t>
            </w:r>
          </w:p>
        </w:tc>
        <w:tc>
          <w:tcPr>
            <w:tcW w:w="1300" w:type="dxa"/>
            <w:tcBorders>
              <w:top w:val="nil"/>
              <w:left w:val="nil"/>
              <w:bottom w:val="nil"/>
              <w:right w:val="nil"/>
            </w:tcBorders>
            <w:shd w:val="clear" w:color="auto" w:fill="auto"/>
            <w:noWrap/>
            <w:vAlign w:val="bottom"/>
            <w:hideMark/>
          </w:tcPr>
          <w:p w14:paraId="062463A1" w14:textId="77777777" w:rsidR="00A14A03" w:rsidRPr="00400D06" w:rsidRDefault="00A14A03" w:rsidP="00AE2262">
            <w:pPr>
              <w:jc w:val="center"/>
              <w:rPr>
                <w:rFonts w:ascii="Times New Roman" w:eastAsia="Times New Roman" w:hAnsi="Times New Roman" w:cs="Times New Roman"/>
                <w:color w:val="000000"/>
              </w:rPr>
            </w:pPr>
            <w:r w:rsidRPr="007A5E01">
              <w:rPr>
                <w:rFonts w:ascii="Times New Roman" w:eastAsia="Times New Roman" w:hAnsi="Times New Roman" w:cs="Times New Roman"/>
                <w:color w:val="000000"/>
              </w:rPr>
              <w:t>0.04**</w:t>
            </w:r>
          </w:p>
        </w:tc>
        <w:tc>
          <w:tcPr>
            <w:tcW w:w="1300" w:type="dxa"/>
            <w:tcBorders>
              <w:top w:val="nil"/>
              <w:left w:val="nil"/>
              <w:bottom w:val="nil"/>
              <w:right w:val="nil"/>
            </w:tcBorders>
            <w:shd w:val="clear" w:color="auto" w:fill="auto"/>
            <w:noWrap/>
            <w:vAlign w:val="bottom"/>
            <w:hideMark/>
          </w:tcPr>
          <w:p w14:paraId="3D0ECC17" w14:textId="77777777" w:rsidR="00A14A03" w:rsidRPr="00400D06" w:rsidRDefault="00A14A03" w:rsidP="00AE2262">
            <w:pPr>
              <w:jc w:val="center"/>
              <w:rPr>
                <w:rFonts w:ascii="Times New Roman" w:eastAsia="Times New Roman" w:hAnsi="Times New Roman" w:cs="Times New Roman"/>
                <w:color w:val="000000"/>
              </w:rPr>
            </w:pPr>
          </w:p>
        </w:tc>
        <w:tc>
          <w:tcPr>
            <w:tcW w:w="1300" w:type="dxa"/>
            <w:tcBorders>
              <w:top w:val="nil"/>
              <w:left w:val="nil"/>
              <w:bottom w:val="nil"/>
              <w:right w:val="nil"/>
            </w:tcBorders>
            <w:shd w:val="clear" w:color="auto" w:fill="auto"/>
            <w:noWrap/>
            <w:vAlign w:val="bottom"/>
            <w:hideMark/>
          </w:tcPr>
          <w:p w14:paraId="7BB85576" w14:textId="77777777" w:rsidR="00A14A03" w:rsidRPr="002C127D" w:rsidRDefault="00A14A03" w:rsidP="00AE2262">
            <w:pPr>
              <w:jc w:val="center"/>
              <w:rPr>
                <w:rFonts w:ascii="Times New Roman" w:eastAsia="Times New Roman" w:hAnsi="Times New Roman" w:cs="Times New Roman"/>
                <w:color w:val="000000"/>
              </w:rPr>
            </w:pPr>
            <w:r w:rsidRPr="002C127D">
              <w:rPr>
                <w:rFonts w:ascii="Times New Roman" w:eastAsia="Times New Roman" w:hAnsi="Times New Roman" w:cs="Times New Roman"/>
                <w:color w:val="000000"/>
              </w:rPr>
              <w:t>0.00***</w:t>
            </w:r>
          </w:p>
        </w:tc>
        <w:tc>
          <w:tcPr>
            <w:tcW w:w="1300" w:type="dxa"/>
            <w:tcBorders>
              <w:top w:val="nil"/>
              <w:left w:val="nil"/>
              <w:bottom w:val="nil"/>
              <w:right w:val="nil"/>
            </w:tcBorders>
            <w:shd w:val="clear" w:color="auto" w:fill="auto"/>
            <w:noWrap/>
            <w:vAlign w:val="bottom"/>
            <w:hideMark/>
          </w:tcPr>
          <w:p w14:paraId="69B3782A" w14:textId="77777777" w:rsidR="00A14A03" w:rsidRPr="000E33A5" w:rsidRDefault="00A14A03" w:rsidP="00AE2262">
            <w:pPr>
              <w:jc w:val="center"/>
              <w:rPr>
                <w:rFonts w:ascii="Times New Roman" w:eastAsia="Times New Roman" w:hAnsi="Times New Roman" w:cs="Times New Roman"/>
                <w:color w:val="000000"/>
              </w:rPr>
            </w:pPr>
          </w:p>
        </w:tc>
        <w:tc>
          <w:tcPr>
            <w:tcW w:w="1300" w:type="dxa"/>
            <w:tcBorders>
              <w:top w:val="nil"/>
              <w:left w:val="nil"/>
              <w:bottom w:val="nil"/>
              <w:right w:val="nil"/>
            </w:tcBorders>
            <w:shd w:val="clear" w:color="auto" w:fill="auto"/>
            <w:noWrap/>
            <w:vAlign w:val="bottom"/>
            <w:hideMark/>
          </w:tcPr>
          <w:p w14:paraId="2515DD78" w14:textId="77777777" w:rsidR="00A14A03" w:rsidRPr="00E339E4" w:rsidRDefault="00A14A03" w:rsidP="00AE2262">
            <w:pPr>
              <w:jc w:val="center"/>
              <w:rPr>
                <w:rFonts w:ascii="Times New Roman" w:eastAsia="Times New Roman" w:hAnsi="Times New Roman" w:cs="Times New Roman"/>
                <w:color w:val="000000"/>
              </w:rPr>
            </w:pPr>
          </w:p>
        </w:tc>
      </w:tr>
      <w:tr w:rsidR="00A14A03" w:rsidRPr="007A5E01" w14:paraId="38BE8F43" w14:textId="77777777" w:rsidTr="00AE2262">
        <w:trPr>
          <w:trHeight w:val="300"/>
        </w:trPr>
        <w:tc>
          <w:tcPr>
            <w:tcW w:w="2100" w:type="dxa"/>
            <w:tcBorders>
              <w:top w:val="nil"/>
              <w:left w:val="nil"/>
              <w:bottom w:val="nil"/>
              <w:right w:val="nil"/>
            </w:tcBorders>
            <w:shd w:val="clear" w:color="auto" w:fill="auto"/>
            <w:noWrap/>
            <w:vAlign w:val="bottom"/>
            <w:hideMark/>
          </w:tcPr>
          <w:p w14:paraId="29FB2B45" w14:textId="77777777" w:rsidR="00A14A03" w:rsidRPr="007A5E01" w:rsidRDefault="00A14A03" w:rsidP="00AE2262">
            <w:pPr>
              <w:rPr>
                <w:rFonts w:ascii="Times New Roman" w:eastAsia="Times New Roman" w:hAnsi="Times New Roman" w:cs="Times New Roman"/>
                <w:color w:val="000000"/>
              </w:rPr>
            </w:pPr>
            <w:r w:rsidRPr="007A5E01">
              <w:rPr>
                <w:rFonts w:ascii="Times New Roman" w:eastAsia="Times New Roman" w:hAnsi="Times New Roman" w:cs="Times New Roman"/>
                <w:color w:val="000000"/>
              </w:rPr>
              <w:t>Log (Assets)</w:t>
            </w:r>
          </w:p>
        </w:tc>
        <w:tc>
          <w:tcPr>
            <w:tcW w:w="1300" w:type="dxa"/>
            <w:tcBorders>
              <w:top w:val="nil"/>
              <w:left w:val="nil"/>
              <w:bottom w:val="nil"/>
              <w:right w:val="nil"/>
            </w:tcBorders>
            <w:shd w:val="clear" w:color="auto" w:fill="auto"/>
            <w:noWrap/>
            <w:vAlign w:val="bottom"/>
            <w:hideMark/>
          </w:tcPr>
          <w:p w14:paraId="23B7CCB0" w14:textId="77777777" w:rsidR="00A14A03" w:rsidRPr="00400D06" w:rsidRDefault="00A14A03" w:rsidP="00AE2262">
            <w:pPr>
              <w:jc w:val="center"/>
              <w:rPr>
                <w:rFonts w:ascii="Times New Roman" w:eastAsia="Times New Roman" w:hAnsi="Times New Roman" w:cs="Times New Roman"/>
                <w:color w:val="000000"/>
              </w:rPr>
            </w:pPr>
            <w:r w:rsidRPr="007A5E01">
              <w:rPr>
                <w:rFonts w:ascii="Times New Roman" w:eastAsia="Times New Roman" w:hAnsi="Times New Roman" w:cs="Times New Roman"/>
                <w:color w:val="000000"/>
              </w:rPr>
              <w:t>No</w:t>
            </w:r>
          </w:p>
        </w:tc>
        <w:tc>
          <w:tcPr>
            <w:tcW w:w="1300" w:type="dxa"/>
            <w:tcBorders>
              <w:top w:val="nil"/>
              <w:left w:val="nil"/>
              <w:bottom w:val="nil"/>
              <w:right w:val="nil"/>
            </w:tcBorders>
            <w:shd w:val="clear" w:color="auto" w:fill="auto"/>
            <w:noWrap/>
            <w:vAlign w:val="bottom"/>
            <w:hideMark/>
          </w:tcPr>
          <w:p w14:paraId="5D342E83" w14:textId="77777777" w:rsidR="00A14A03" w:rsidRPr="002C127D" w:rsidRDefault="00A14A03" w:rsidP="00AE2262">
            <w:pPr>
              <w:jc w:val="center"/>
              <w:rPr>
                <w:rFonts w:ascii="Times New Roman" w:eastAsia="Times New Roman" w:hAnsi="Times New Roman" w:cs="Times New Roman"/>
                <w:color w:val="000000"/>
              </w:rPr>
            </w:pPr>
            <w:r w:rsidRPr="00400D06">
              <w:rPr>
                <w:rFonts w:ascii="Times New Roman" w:eastAsia="Times New Roman" w:hAnsi="Times New Roman" w:cs="Times New Roman"/>
                <w:color w:val="000000"/>
              </w:rPr>
              <w:t>7.3</w:t>
            </w:r>
            <w:r w:rsidRPr="002C127D">
              <w:rPr>
                <w:rFonts w:ascii="Times New Roman" w:eastAsia="Times New Roman" w:hAnsi="Times New Roman" w:cs="Times New Roman"/>
                <w:color w:val="000000"/>
              </w:rPr>
              <w:t>6</w:t>
            </w:r>
          </w:p>
        </w:tc>
        <w:tc>
          <w:tcPr>
            <w:tcW w:w="1300" w:type="dxa"/>
            <w:tcBorders>
              <w:top w:val="nil"/>
              <w:left w:val="nil"/>
              <w:bottom w:val="nil"/>
              <w:right w:val="nil"/>
            </w:tcBorders>
            <w:shd w:val="clear" w:color="auto" w:fill="auto"/>
            <w:noWrap/>
            <w:vAlign w:val="bottom"/>
            <w:hideMark/>
          </w:tcPr>
          <w:p w14:paraId="35E948BC" w14:textId="77777777" w:rsidR="00A14A03" w:rsidRPr="000E33A5" w:rsidRDefault="00A14A03" w:rsidP="00AE2262">
            <w:pPr>
              <w:jc w:val="center"/>
              <w:rPr>
                <w:rFonts w:ascii="Times New Roman" w:eastAsia="Times New Roman" w:hAnsi="Times New Roman" w:cs="Times New Roman"/>
                <w:color w:val="000000"/>
              </w:rPr>
            </w:pPr>
            <w:r w:rsidRPr="000E33A5">
              <w:rPr>
                <w:rFonts w:ascii="Times New Roman" w:eastAsia="Times New Roman" w:hAnsi="Times New Roman" w:cs="Times New Roman"/>
                <w:color w:val="000000"/>
              </w:rPr>
              <w:t>5.99</w:t>
            </w:r>
          </w:p>
        </w:tc>
        <w:tc>
          <w:tcPr>
            <w:tcW w:w="1300" w:type="dxa"/>
            <w:tcBorders>
              <w:top w:val="nil"/>
              <w:left w:val="nil"/>
              <w:bottom w:val="nil"/>
              <w:right w:val="nil"/>
            </w:tcBorders>
            <w:shd w:val="clear" w:color="auto" w:fill="auto"/>
            <w:noWrap/>
            <w:vAlign w:val="bottom"/>
            <w:hideMark/>
          </w:tcPr>
          <w:p w14:paraId="51981269" w14:textId="77777777" w:rsidR="00A14A03" w:rsidRPr="000E5813" w:rsidRDefault="00A14A03" w:rsidP="00AE2262">
            <w:pPr>
              <w:jc w:val="center"/>
              <w:rPr>
                <w:rFonts w:ascii="Times New Roman" w:eastAsia="Times New Roman" w:hAnsi="Times New Roman" w:cs="Times New Roman"/>
                <w:color w:val="000000"/>
              </w:rPr>
            </w:pPr>
            <w:r w:rsidRPr="00E339E4">
              <w:rPr>
                <w:rFonts w:ascii="Times New Roman" w:eastAsia="Times New Roman" w:hAnsi="Times New Roman" w:cs="Times New Roman"/>
                <w:color w:val="000000"/>
              </w:rPr>
              <w:t>7.65</w:t>
            </w:r>
          </w:p>
        </w:tc>
        <w:tc>
          <w:tcPr>
            <w:tcW w:w="1300" w:type="dxa"/>
            <w:tcBorders>
              <w:top w:val="nil"/>
              <w:left w:val="nil"/>
              <w:bottom w:val="nil"/>
              <w:right w:val="nil"/>
            </w:tcBorders>
            <w:shd w:val="clear" w:color="auto" w:fill="auto"/>
            <w:noWrap/>
            <w:vAlign w:val="bottom"/>
            <w:hideMark/>
          </w:tcPr>
          <w:p w14:paraId="5207363D" w14:textId="77777777" w:rsidR="00A14A03" w:rsidRPr="00B935AF" w:rsidRDefault="00A14A03" w:rsidP="00AE2262">
            <w:pPr>
              <w:jc w:val="center"/>
              <w:rPr>
                <w:rFonts w:ascii="Times New Roman" w:eastAsia="Times New Roman" w:hAnsi="Times New Roman" w:cs="Times New Roman"/>
                <w:color w:val="000000"/>
              </w:rPr>
            </w:pPr>
            <w:r w:rsidRPr="00B935AF">
              <w:rPr>
                <w:rFonts w:ascii="Times New Roman" w:eastAsia="Times New Roman" w:hAnsi="Times New Roman" w:cs="Times New Roman"/>
                <w:color w:val="000000"/>
              </w:rPr>
              <w:t>8.75</w:t>
            </w:r>
          </w:p>
        </w:tc>
        <w:tc>
          <w:tcPr>
            <w:tcW w:w="1300" w:type="dxa"/>
            <w:tcBorders>
              <w:top w:val="nil"/>
              <w:left w:val="nil"/>
              <w:bottom w:val="nil"/>
              <w:right w:val="nil"/>
            </w:tcBorders>
            <w:shd w:val="clear" w:color="auto" w:fill="auto"/>
            <w:noWrap/>
            <w:vAlign w:val="bottom"/>
            <w:hideMark/>
          </w:tcPr>
          <w:p w14:paraId="79B891CE" w14:textId="77777777" w:rsidR="00A14A03" w:rsidRPr="00670396" w:rsidRDefault="00A14A03" w:rsidP="00AE2262">
            <w:pPr>
              <w:jc w:val="center"/>
              <w:rPr>
                <w:rFonts w:ascii="Times New Roman" w:eastAsia="Times New Roman" w:hAnsi="Times New Roman" w:cs="Times New Roman"/>
                <w:color w:val="000000"/>
              </w:rPr>
            </w:pPr>
            <w:r w:rsidRPr="00670396">
              <w:rPr>
                <w:rFonts w:ascii="Times New Roman" w:eastAsia="Times New Roman" w:hAnsi="Times New Roman" w:cs="Times New Roman"/>
                <w:color w:val="000000"/>
              </w:rPr>
              <w:t>284</w:t>
            </w:r>
          </w:p>
        </w:tc>
      </w:tr>
      <w:tr w:rsidR="00A14A03" w:rsidRPr="007A5E01" w14:paraId="6D5DF152" w14:textId="77777777" w:rsidTr="00AE2262">
        <w:trPr>
          <w:trHeight w:val="300"/>
        </w:trPr>
        <w:tc>
          <w:tcPr>
            <w:tcW w:w="2100" w:type="dxa"/>
            <w:tcBorders>
              <w:top w:val="nil"/>
              <w:left w:val="nil"/>
              <w:bottom w:val="nil"/>
              <w:right w:val="nil"/>
            </w:tcBorders>
            <w:shd w:val="clear" w:color="auto" w:fill="auto"/>
            <w:noWrap/>
            <w:vAlign w:val="bottom"/>
            <w:hideMark/>
          </w:tcPr>
          <w:p w14:paraId="018AC7E6" w14:textId="77777777" w:rsidR="00A14A03" w:rsidRPr="007A5E01" w:rsidRDefault="00A14A03" w:rsidP="00AE2262">
            <w:pPr>
              <w:rPr>
                <w:rFonts w:ascii="Times New Roman" w:eastAsia="Times New Roman" w:hAnsi="Times New Roman" w:cs="Times New Roman"/>
                <w:color w:val="000000"/>
              </w:rPr>
            </w:pPr>
          </w:p>
        </w:tc>
        <w:tc>
          <w:tcPr>
            <w:tcW w:w="1300" w:type="dxa"/>
            <w:tcBorders>
              <w:top w:val="nil"/>
              <w:left w:val="nil"/>
              <w:bottom w:val="nil"/>
              <w:right w:val="nil"/>
            </w:tcBorders>
            <w:shd w:val="clear" w:color="auto" w:fill="auto"/>
            <w:noWrap/>
            <w:vAlign w:val="bottom"/>
            <w:hideMark/>
          </w:tcPr>
          <w:p w14:paraId="44236BC4" w14:textId="77777777" w:rsidR="00A14A03" w:rsidRPr="007A5E01" w:rsidRDefault="00A14A03" w:rsidP="00AE2262">
            <w:pPr>
              <w:jc w:val="center"/>
              <w:rPr>
                <w:rFonts w:ascii="Times New Roman" w:eastAsia="Times New Roman" w:hAnsi="Times New Roman" w:cs="Times New Roman"/>
                <w:color w:val="000000"/>
              </w:rPr>
            </w:pPr>
            <w:r w:rsidRPr="007A5E01">
              <w:rPr>
                <w:rFonts w:ascii="Times New Roman" w:eastAsia="Times New Roman" w:hAnsi="Times New Roman" w:cs="Times New Roman"/>
                <w:color w:val="000000"/>
              </w:rPr>
              <w:t>Yes</w:t>
            </w:r>
          </w:p>
        </w:tc>
        <w:tc>
          <w:tcPr>
            <w:tcW w:w="1300" w:type="dxa"/>
            <w:tcBorders>
              <w:top w:val="nil"/>
              <w:left w:val="nil"/>
              <w:bottom w:val="nil"/>
              <w:right w:val="nil"/>
            </w:tcBorders>
            <w:shd w:val="clear" w:color="auto" w:fill="auto"/>
            <w:noWrap/>
            <w:vAlign w:val="bottom"/>
            <w:hideMark/>
          </w:tcPr>
          <w:p w14:paraId="1DEA144D" w14:textId="77777777" w:rsidR="00A14A03" w:rsidRPr="00400D06" w:rsidRDefault="00A14A03" w:rsidP="00AE2262">
            <w:pPr>
              <w:jc w:val="center"/>
              <w:rPr>
                <w:rFonts w:ascii="Times New Roman" w:eastAsia="Times New Roman" w:hAnsi="Times New Roman" w:cs="Times New Roman"/>
                <w:color w:val="000000"/>
              </w:rPr>
            </w:pPr>
            <w:r w:rsidRPr="007A5E01">
              <w:rPr>
                <w:rFonts w:ascii="Times New Roman" w:eastAsia="Times New Roman" w:hAnsi="Times New Roman" w:cs="Times New Roman"/>
                <w:color w:val="000000"/>
              </w:rPr>
              <w:t>6.37</w:t>
            </w:r>
          </w:p>
        </w:tc>
        <w:tc>
          <w:tcPr>
            <w:tcW w:w="1300" w:type="dxa"/>
            <w:tcBorders>
              <w:top w:val="nil"/>
              <w:left w:val="nil"/>
              <w:bottom w:val="nil"/>
              <w:right w:val="nil"/>
            </w:tcBorders>
            <w:shd w:val="clear" w:color="auto" w:fill="auto"/>
            <w:noWrap/>
            <w:vAlign w:val="bottom"/>
            <w:hideMark/>
          </w:tcPr>
          <w:p w14:paraId="38198199" w14:textId="77777777" w:rsidR="00A14A03" w:rsidRPr="00400D06" w:rsidRDefault="00A14A03" w:rsidP="00AE2262">
            <w:pPr>
              <w:jc w:val="center"/>
              <w:rPr>
                <w:rFonts w:ascii="Times New Roman" w:eastAsia="Times New Roman" w:hAnsi="Times New Roman" w:cs="Times New Roman"/>
                <w:color w:val="000000"/>
              </w:rPr>
            </w:pPr>
            <w:r w:rsidRPr="00400D06">
              <w:rPr>
                <w:rFonts w:ascii="Times New Roman" w:eastAsia="Times New Roman" w:hAnsi="Times New Roman" w:cs="Times New Roman"/>
                <w:color w:val="000000"/>
              </w:rPr>
              <w:t>5.16</w:t>
            </w:r>
          </w:p>
        </w:tc>
        <w:tc>
          <w:tcPr>
            <w:tcW w:w="1300" w:type="dxa"/>
            <w:tcBorders>
              <w:top w:val="nil"/>
              <w:left w:val="nil"/>
              <w:bottom w:val="nil"/>
              <w:right w:val="nil"/>
            </w:tcBorders>
            <w:shd w:val="clear" w:color="auto" w:fill="auto"/>
            <w:noWrap/>
            <w:vAlign w:val="bottom"/>
            <w:hideMark/>
          </w:tcPr>
          <w:p w14:paraId="458DAA31" w14:textId="77777777" w:rsidR="00A14A03" w:rsidRPr="002C127D" w:rsidRDefault="00A14A03" w:rsidP="00AE2262">
            <w:pPr>
              <w:jc w:val="center"/>
              <w:rPr>
                <w:rFonts w:ascii="Times New Roman" w:eastAsia="Times New Roman" w:hAnsi="Times New Roman" w:cs="Times New Roman"/>
                <w:color w:val="000000"/>
              </w:rPr>
            </w:pPr>
            <w:r w:rsidRPr="002C127D">
              <w:rPr>
                <w:rFonts w:ascii="Times New Roman" w:eastAsia="Times New Roman" w:hAnsi="Times New Roman" w:cs="Times New Roman"/>
                <w:color w:val="000000"/>
              </w:rPr>
              <w:t>6.07</w:t>
            </w:r>
          </w:p>
        </w:tc>
        <w:tc>
          <w:tcPr>
            <w:tcW w:w="1300" w:type="dxa"/>
            <w:tcBorders>
              <w:top w:val="nil"/>
              <w:left w:val="nil"/>
              <w:bottom w:val="nil"/>
              <w:right w:val="nil"/>
            </w:tcBorders>
            <w:shd w:val="clear" w:color="auto" w:fill="auto"/>
            <w:noWrap/>
            <w:vAlign w:val="bottom"/>
            <w:hideMark/>
          </w:tcPr>
          <w:p w14:paraId="66C6EAF2" w14:textId="77777777" w:rsidR="00A14A03" w:rsidRPr="00E339E4" w:rsidRDefault="00A14A03" w:rsidP="00AE2262">
            <w:pPr>
              <w:jc w:val="center"/>
              <w:rPr>
                <w:rFonts w:ascii="Times New Roman" w:eastAsia="Times New Roman" w:hAnsi="Times New Roman" w:cs="Times New Roman"/>
                <w:color w:val="000000"/>
              </w:rPr>
            </w:pPr>
            <w:r w:rsidRPr="000E33A5">
              <w:rPr>
                <w:rFonts w:ascii="Times New Roman" w:eastAsia="Times New Roman" w:hAnsi="Times New Roman" w:cs="Times New Roman"/>
                <w:color w:val="000000"/>
              </w:rPr>
              <w:t>7.4</w:t>
            </w:r>
            <w:r w:rsidRPr="00E339E4">
              <w:rPr>
                <w:rFonts w:ascii="Times New Roman" w:eastAsia="Times New Roman" w:hAnsi="Times New Roman" w:cs="Times New Roman"/>
                <w:color w:val="000000"/>
              </w:rPr>
              <w:t>7</w:t>
            </w:r>
          </w:p>
        </w:tc>
        <w:tc>
          <w:tcPr>
            <w:tcW w:w="1300" w:type="dxa"/>
            <w:tcBorders>
              <w:top w:val="nil"/>
              <w:left w:val="nil"/>
              <w:bottom w:val="nil"/>
              <w:right w:val="nil"/>
            </w:tcBorders>
            <w:shd w:val="clear" w:color="auto" w:fill="auto"/>
            <w:noWrap/>
            <w:vAlign w:val="bottom"/>
            <w:hideMark/>
          </w:tcPr>
          <w:p w14:paraId="78303B40" w14:textId="77777777" w:rsidR="00A14A03" w:rsidRPr="000E5813" w:rsidRDefault="00A14A03" w:rsidP="00AE2262">
            <w:pPr>
              <w:jc w:val="center"/>
              <w:rPr>
                <w:rFonts w:ascii="Times New Roman" w:eastAsia="Times New Roman" w:hAnsi="Times New Roman" w:cs="Times New Roman"/>
                <w:color w:val="000000"/>
              </w:rPr>
            </w:pPr>
            <w:r w:rsidRPr="000E5813">
              <w:rPr>
                <w:rFonts w:ascii="Times New Roman" w:eastAsia="Times New Roman" w:hAnsi="Times New Roman" w:cs="Times New Roman"/>
                <w:color w:val="000000"/>
              </w:rPr>
              <w:t>384</w:t>
            </w:r>
          </w:p>
        </w:tc>
      </w:tr>
      <w:tr w:rsidR="00A14A03" w:rsidRPr="007A5E01" w14:paraId="490E4DAB" w14:textId="77777777" w:rsidTr="00AE2262">
        <w:trPr>
          <w:trHeight w:val="300"/>
        </w:trPr>
        <w:tc>
          <w:tcPr>
            <w:tcW w:w="2100" w:type="dxa"/>
            <w:tcBorders>
              <w:top w:val="nil"/>
              <w:left w:val="nil"/>
              <w:bottom w:val="nil"/>
              <w:right w:val="nil"/>
            </w:tcBorders>
            <w:shd w:val="clear" w:color="auto" w:fill="auto"/>
            <w:noWrap/>
            <w:vAlign w:val="bottom"/>
            <w:hideMark/>
          </w:tcPr>
          <w:p w14:paraId="47FFC65B" w14:textId="77777777" w:rsidR="00A14A03" w:rsidRPr="007A5E01" w:rsidRDefault="00A14A03" w:rsidP="00AE2262">
            <w:pPr>
              <w:rPr>
                <w:rFonts w:ascii="Times New Roman" w:eastAsia="Times New Roman" w:hAnsi="Times New Roman" w:cs="Times New Roman"/>
                <w:color w:val="000000"/>
              </w:rPr>
            </w:pPr>
          </w:p>
        </w:tc>
        <w:tc>
          <w:tcPr>
            <w:tcW w:w="1300" w:type="dxa"/>
            <w:tcBorders>
              <w:top w:val="nil"/>
              <w:left w:val="nil"/>
              <w:bottom w:val="nil"/>
              <w:right w:val="nil"/>
            </w:tcBorders>
            <w:shd w:val="clear" w:color="auto" w:fill="auto"/>
            <w:noWrap/>
            <w:vAlign w:val="bottom"/>
            <w:hideMark/>
          </w:tcPr>
          <w:p w14:paraId="3A697CBB" w14:textId="77777777" w:rsidR="00A14A03" w:rsidRPr="007A5E01" w:rsidRDefault="00A14A03" w:rsidP="00AE2262">
            <w:pPr>
              <w:jc w:val="center"/>
              <w:rPr>
                <w:rFonts w:ascii="Times New Roman" w:eastAsia="Times New Roman" w:hAnsi="Times New Roman" w:cs="Times New Roman"/>
                <w:color w:val="000000"/>
              </w:rPr>
            </w:pPr>
            <w:r w:rsidRPr="007A5E01">
              <w:rPr>
                <w:rFonts w:ascii="Times New Roman" w:eastAsia="Times New Roman" w:hAnsi="Times New Roman" w:cs="Times New Roman"/>
                <w:color w:val="000000"/>
              </w:rPr>
              <w:t>p value</w:t>
            </w:r>
          </w:p>
        </w:tc>
        <w:tc>
          <w:tcPr>
            <w:tcW w:w="1300" w:type="dxa"/>
            <w:tcBorders>
              <w:top w:val="nil"/>
              <w:left w:val="nil"/>
              <w:bottom w:val="nil"/>
              <w:right w:val="nil"/>
            </w:tcBorders>
            <w:shd w:val="clear" w:color="auto" w:fill="auto"/>
            <w:noWrap/>
            <w:vAlign w:val="bottom"/>
            <w:hideMark/>
          </w:tcPr>
          <w:p w14:paraId="7BE2EC72" w14:textId="77777777" w:rsidR="00A14A03" w:rsidRPr="00400D06" w:rsidRDefault="00A14A03" w:rsidP="00AE2262">
            <w:pPr>
              <w:jc w:val="center"/>
              <w:rPr>
                <w:rFonts w:ascii="Times New Roman" w:eastAsia="Times New Roman" w:hAnsi="Times New Roman" w:cs="Times New Roman"/>
                <w:color w:val="000000"/>
              </w:rPr>
            </w:pPr>
            <w:r w:rsidRPr="007A5E01">
              <w:rPr>
                <w:rFonts w:ascii="Times New Roman" w:eastAsia="Times New Roman" w:hAnsi="Times New Roman" w:cs="Times New Roman"/>
                <w:color w:val="000000"/>
              </w:rPr>
              <w:t>0.00***</w:t>
            </w:r>
          </w:p>
        </w:tc>
        <w:tc>
          <w:tcPr>
            <w:tcW w:w="1300" w:type="dxa"/>
            <w:tcBorders>
              <w:top w:val="nil"/>
              <w:left w:val="nil"/>
              <w:bottom w:val="nil"/>
              <w:right w:val="nil"/>
            </w:tcBorders>
            <w:shd w:val="clear" w:color="auto" w:fill="auto"/>
            <w:noWrap/>
            <w:vAlign w:val="bottom"/>
            <w:hideMark/>
          </w:tcPr>
          <w:p w14:paraId="4B95BB70" w14:textId="77777777" w:rsidR="00A14A03" w:rsidRPr="00400D06" w:rsidRDefault="00A14A03" w:rsidP="00AE2262">
            <w:pPr>
              <w:jc w:val="center"/>
              <w:rPr>
                <w:rFonts w:ascii="Times New Roman" w:eastAsia="Times New Roman" w:hAnsi="Times New Roman" w:cs="Times New Roman"/>
                <w:color w:val="000000"/>
              </w:rPr>
            </w:pPr>
          </w:p>
        </w:tc>
        <w:tc>
          <w:tcPr>
            <w:tcW w:w="1300" w:type="dxa"/>
            <w:tcBorders>
              <w:top w:val="nil"/>
              <w:left w:val="nil"/>
              <w:bottom w:val="nil"/>
              <w:right w:val="nil"/>
            </w:tcBorders>
            <w:shd w:val="clear" w:color="auto" w:fill="auto"/>
            <w:noWrap/>
            <w:vAlign w:val="bottom"/>
            <w:hideMark/>
          </w:tcPr>
          <w:p w14:paraId="4A44926D" w14:textId="77777777" w:rsidR="00A14A03" w:rsidRPr="002C127D" w:rsidRDefault="00A14A03" w:rsidP="00AE2262">
            <w:pPr>
              <w:jc w:val="center"/>
              <w:rPr>
                <w:rFonts w:ascii="Times New Roman" w:eastAsia="Times New Roman" w:hAnsi="Times New Roman" w:cs="Times New Roman"/>
                <w:color w:val="000000"/>
              </w:rPr>
            </w:pPr>
            <w:r w:rsidRPr="002C127D">
              <w:rPr>
                <w:rFonts w:ascii="Times New Roman" w:eastAsia="Times New Roman" w:hAnsi="Times New Roman" w:cs="Times New Roman"/>
                <w:color w:val="000000"/>
              </w:rPr>
              <w:t>0.00***</w:t>
            </w:r>
          </w:p>
        </w:tc>
        <w:tc>
          <w:tcPr>
            <w:tcW w:w="1300" w:type="dxa"/>
            <w:tcBorders>
              <w:top w:val="nil"/>
              <w:left w:val="nil"/>
              <w:bottom w:val="nil"/>
              <w:right w:val="nil"/>
            </w:tcBorders>
            <w:shd w:val="clear" w:color="auto" w:fill="auto"/>
            <w:noWrap/>
            <w:vAlign w:val="bottom"/>
            <w:hideMark/>
          </w:tcPr>
          <w:p w14:paraId="43B2382A" w14:textId="77777777" w:rsidR="00A14A03" w:rsidRPr="000E33A5" w:rsidRDefault="00A14A03" w:rsidP="00AE2262">
            <w:pPr>
              <w:jc w:val="center"/>
              <w:rPr>
                <w:rFonts w:ascii="Times New Roman" w:eastAsia="Times New Roman" w:hAnsi="Times New Roman" w:cs="Times New Roman"/>
                <w:color w:val="000000"/>
              </w:rPr>
            </w:pPr>
          </w:p>
        </w:tc>
        <w:tc>
          <w:tcPr>
            <w:tcW w:w="1300" w:type="dxa"/>
            <w:tcBorders>
              <w:top w:val="nil"/>
              <w:left w:val="nil"/>
              <w:bottom w:val="nil"/>
              <w:right w:val="nil"/>
            </w:tcBorders>
            <w:shd w:val="clear" w:color="auto" w:fill="auto"/>
            <w:noWrap/>
            <w:vAlign w:val="bottom"/>
            <w:hideMark/>
          </w:tcPr>
          <w:p w14:paraId="2721718F" w14:textId="77777777" w:rsidR="00A14A03" w:rsidRPr="00E339E4" w:rsidRDefault="00A14A03" w:rsidP="00AE2262">
            <w:pPr>
              <w:jc w:val="center"/>
              <w:rPr>
                <w:rFonts w:ascii="Times New Roman" w:eastAsia="Times New Roman" w:hAnsi="Times New Roman" w:cs="Times New Roman"/>
                <w:color w:val="000000"/>
              </w:rPr>
            </w:pPr>
          </w:p>
        </w:tc>
      </w:tr>
      <w:tr w:rsidR="00A14A03" w:rsidRPr="007A5E01" w14:paraId="60CBB8F7" w14:textId="77777777" w:rsidTr="00AE2262">
        <w:trPr>
          <w:trHeight w:val="300"/>
        </w:trPr>
        <w:tc>
          <w:tcPr>
            <w:tcW w:w="2100" w:type="dxa"/>
            <w:tcBorders>
              <w:top w:val="nil"/>
              <w:left w:val="nil"/>
              <w:bottom w:val="nil"/>
              <w:right w:val="nil"/>
            </w:tcBorders>
            <w:shd w:val="clear" w:color="auto" w:fill="auto"/>
            <w:noWrap/>
            <w:vAlign w:val="bottom"/>
            <w:hideMark/>
          </w:tcPr>
          <w:p w14:paraId="44C68757" w14:textId="77777777" w:rsidR="00A14A03" w:rsidRPr="007A5E01" w:rsidRDefault="00A14A03" w:rsidP="00AE2262">
            <w:pPr>
              <w:rPr>
                <w:rFonts w:ascii="Times New Roman" w:eastAsia="Times New Roman" w:hAnsi="Times New Roman" w:cs="Times New Roman"/>
                <w:color w:val="000000"/>
              </w:rPr>
            </w:pPr>
            <w:r w:rsidRPr="007A5E01">
              <w:rPr>
                <w:rFonts w:ascii="Times New Roman" w:eastAsia="Times New Roman" w:hAnsi="Times New Roman" w:cs="Times New Roman"/>
                <w:color w:val="000000"/>
              </w:rPr>
              <w:t>Inventory/Sales</w:t>
            </w:r>
          </w:p>
        </w:tc>
        <w:tc>
          <w:tcPr>
            <w:tcW w:w="1300" w:type="dxa"/>
            <w:tcBorders>
              <w:top w:val="nil"/>
              <w:left w:val="nil"/>
              <w:bottom w:val="nil"/>
              <w:right w:val="nil"/>
            </w:tcBorders>
            <w:shd w:val="clear" w:color="auto" w:fill="auto"/>
            <w:noWrap/>
            <w:vAlign w:val="bottom"/>
            <w:hideMark/>
          </w:tcPr>
          <w:p w14:paraId="0F42F5DE" w14:textId="77777777" w:rsidR="00A14A03" w:rsidRPr="007A5E01" w:rsidRDefault="00A14A03" w:rsidP="00AE2262">
            <w:pPr>
              <w:jc w:val="center"/>
              <w:rPr>
                <w:rFonts w:ascii="Times New Roman" w:eastAsia="Times New Roman" w:hAnsi="Times New Roman" w:cs="Times New Roman"/>
                <w:color w:val="000000"/>
              </w:rPr>
            </w:pPr>
            <w:r w:rsidRPr="007A5E01">
              <w:rPr>
                <w:rFonts w:ascii="Times New Roman" w:eastAsia="Times New Roman" w:hAnsi="Times New Roman" w:cs="Times New Roman"/>
                <w:color w:val="000000"/>
              </w:rPr>
              <w:t>No</w:t>
            </w:r>
          </w:p>
        </w:tc>
        <w:tc>
          <w:tcPr>
            <w:tcW w:w="1300" w:type="dxa"/>
            <w:tcBorders>
              <w:top w:val="nil"/>
              <w:left w:val="nil"/>
              <w:bottom w:val="nil"/>
              <w:right w:val="nil"/>
            </w:tcBorders>
            <w:shd w:val="clear" w:color="auto" w:fill="auto"/>
            <w:noWrap/>
            <w:vAlign w:val="bottom"/>
            <w:hideMark/>
          </w:tcPr>
          <w:p w14:paraId="16DEF049" w14:textId="77777777" w:rsidR="00A14A03" w:rsidRPr="00400D06" w:rsidRDefault="00A14A03" w:rsidP="00AE2262">
            <w:pPr>
              <w:jc w:val="center"/>
              <w:rPr>
                <w:rFonts w:ascii="Times New Roman" w:eastAsia="Times New Roman" w:hAnsi="Times New Roman" w:cs="Times New Roman"/>
                <w:color w:val="000000"/>
              </w:rPr>
            </w:pPr>
            <w:r w:rsidRPr="007A5E01">
              <w:rPr>
                <w:rFonts w:ascii="Times New Roman" w:eastAsia="Times New Roman" w:hAnsi="Times New Roman" w:cs="Times New Roman"/>
                <w:color w:val="000000"/>
              </w:rPr>
              <w:t>9.38</w:t>
            </w:r>
          </w:p>
        </w:tc>
        <w:tc>
          <w:tcPr>
            <w:tcW w:w="1300" w:type="dxa"/>
            <w:tcBorders>
              <w:top w:val="nil"/>
              <w:left w:val="nil"/>
              <w:bottom w:val="nil"/>
              <w:right w:val="nil"/>
            </w:tcBorders>
            <w:shd w:val="clear" w:color="auto" w:fill="auto"/>
            <w:noWrap/>
            <w:vAlign w:val="bottom"/>
            <w:hideMark/>
          </w:tcPr>
          <w:p w14:paraId="01B4E190" w14:textId="77777777" w:rsidR="00A14A03" w:rsidRPr="00400D06" w:rsidRDefault="00A14A03" w:rsidP="00AE2262">
            <w:pPr>
              <w:jc w:val="center"/>
              <w:rPr>
                <w:rFonts w:ascii="Times New Roman" w:eastAsia="Times New Roman" w:hAnsi="Times New Roman" w:cs="Times New Roman"/>
                <w:color w:val="000000"/>
              </w:rPr>
            </w:pPr>
            <w:r w:rsidRPr="00400D06">
              <w:rPr>
                <w:rFonts w:ascii="Times New Roman" w:eastAsia="Times New Roman" w:hAnsi="Times New Roman" w:cs="Times New Roman"/>
                <w:color w:val="000000"/>
              </w:rPr>
              <w:t>0</w:t>
            </w:r>
          </w:p>
        </w:tc>
        <w:tc>
          <w:tcPr>
            <w:tcW w:w="1300" w:type="dxa"/>
            <w:tcBorders>
              <w:top w:val="nil"/>
              <w:left w:val="nil"/>
              <w:bottom w:val="nil"/>
              <w:right w:val="nil"/>
            </w:tcBorders>
            <w:shd w:val="clear" w:color="auto" w:fill="auto"/>
            <w:noWrap/>
            <w:vAlign w:val="bottom"/>
            <w:hideMark/>
          </w:tcPr>
          <w:p w14:paraId="133DF7E7" w14:textId="77777777" w:rsidR="00A14A03" w:rsidRPr="002C127D" w:rsidRDefault="00A14A03" w:rsidP="00AE2262">
            <w:pPr>
              <w:jc w:val="center"/>
              <w:rPr>
                <w:rFonts w:ascii="Times New Roman" w:eastAsia="Times New Roman" w:hAnsi="Times New Roman" w:cs="Times New Roman"/>
                <w:color w:val="000000"/>
              </w:rPr>
            </w:pPr>
            <w:r w:rsidRPr="002C127D">
              <w:rPr>
                <w:rFonts w:ascii="Times New Roman" w:eastAsia="Times New Roman" w:hAnsi="Times New Roman" w:cs="Times New Roman"/>
                <w:color w:val="000000"/>
              </w:rPr>
              <w:t>8.20</w:t>
            </w:r>
          </w:p>
        </w:tc>
        <w:tc>
          <w:tcPr>
            <w:tcW w:w="1300" w:type="dxa"/>
            <w:tcBorders>
              <w:top w:val="nil"/>
              <w:left w:val="nil"/>
              <w:bottom w:val="nil"/>
              <w:right w:val="nil"/>
            </w:tcBorders>
            <w:shd w:val="clear" w:color="auto" w:fill="auto"/>
            <w:noWrap/>
            <w:vAlign w:val="bottom"/>
            <w:hideMark/>
          </w:tcPr>
          <w:p w14:paraId="4B5C214D" w14:textId="77777777" w:rsidR="00A14A03" w:rsidRPr="00E339E4" w:rsidRDefault="00A14A03" w:rsidP="00AE2262">
            <w:pPr>
              <w:jc w:val="center"/>
              <w:rPr>
                <w:rFonts w:ascii="Times New Roman" w:eastAsia="Times New Roman" w:hAnsi="Times New Roman" w:cs="Times New Roman"/>
                <w:color w:val="000000"/>
              </w:rPr>
            </w:pPr>
            <w:r w:rsidRPr="000E33A5">
              <w:rPr>
                <w:rFonts w:ascii="Times New Roman" w:eastAsia="Times New Roman" w:hAnsi="Times New Roman" w:cs="Times New Roman"/>
                <w:color w:val="000000"/>
              </w:rPr>
              <w:t>13.8</w:t>
            </w:r>
            <w:r w:rsidRPr="00E339E4">
              <w:rPr>
                <w:rFonts w:ascii="Times New Roman" w:eastAsia="Times New Roman" w:hAnsi="Times New Roman" w:cs="Times New Roman"/>
                <w:color w:val="000000"/>
              </w:rPr>
              <w:t>4</w:t>
            </w:r>
          </w:p>
        </w:tc>
        <w:tc>
          <w:tcPr>
            <w:tcW w:w="1300" w:type="dxa"/>
            <w:tcBorders>
              <w:top w:val="nil"/>
              <w:left w:val="nil"/>
              <w:bottom w:val="nil"/>
              <w:right w:val="nil"/>
            </w:tcBorders>
            <w:shd w:val="clear" w:color="auto" w:fill="auto"/>
            <w:noWrap/>
            <w:vAlign w:val="bottom"/>
            <w:hideMark/>
          </w:tcPr>
          <w:p w14:paraId="28766349" w14:textId="77777777" w:rsidR="00A14A03" w:rsidRPr="000E5813" w:rsidRDefault="00A14A03" w:rsidP="00AE2262">
            <w:pPr>
              <w:jc w:val="center"/>
              <w:rPr>
                <w:rFonts w:ascii="Times New Roman" w:eastAsia="Times New Roman" w:hAnsi="Times New Roman" w:cs="Times New Roman"/>
                <w:color w:val="000000"/>
              </w:rPr>
            </w:pPr>
            <w:r w:rsidRPr="000E5813">
              <w:rPr>
                <w:rFonts w:ascii="Times New Roman" w:eastAsia="Times New Roman" w:hAnsi="Times New Roman" w:cs="Times New Roman"/>
                <w:color w:val="000000"/>
              </w:rPr>
              <w:t>284</w:t>
            </w:r>
          </w:p>
        </w:tc>
      </w:tr>
      <w:tr w:rsidR="00A14A03" w:rsidRPr="007A5E01" w14:paraId="608EBC35" w14:textId="77777777" w:rsidTr="00AE2262">
        <w:trPr>
          <w:trHeight w:val="300"/>
        </w:trPr>
        <w:tc>
          <w:tcPr>
            <w:tcW w:w="2100" w:type="dxa"/>
            <w:tcBorders>
              <w:top w:val="nil"/>
              <w:left w:val="nil"/>
              <w:bottom w:val="nil"/>
              <w:right w:val="nil"/>
            </w:tcBorders>
            <w:shd w:val="clear" w:color="auto" w:fill="auto"/>
            <w:noWrap/>
            <w:vAlign w:val="bottom"/>
            <w:hideMark/>
          </w:tcPr>
          <w:p w14:paraId="0283C695" w14:textId="77777777" w:rsidR="00A14A03" w:rsidRPr="007A5E01" w:rsidRDefault="00A14A03" w:rsidP="00AE2262">
            <w:pPr>
              <w:rPr>
                <w:rFonts w:ascii="Times New Roman" w:eastAsia="Times New Roman" w:hAnsi="Times New Roman" w:cs="Times New Roman"/>
                <w:color w:val="000000"/>
              </w:rPr>
            </w:pPr>
          </w:p>
        </w:tc>
        <w:tc>
          <w:tcPr>
            <w:tcW w:w="1300" w:type="dxa"/>
            <w:tcBorders>
              <w:top w:val="nil"/>
              <w:left w:val="nil"/>
              <w:bottom w:val="nil"/>
              <w:right w:val="nil"/>
            </w:tcBorders>
            <w:shd w:val="clear" w:color="auto" w:fill="auto"/>
            <w:noWrap/>
            <w:vAlign w:val="bottom"/>
            <w:hideMark/>
          </w:tcPr>
          <w:p w14:paraId="1465F65B" w14:textId="77777777" w:rsidR="00A14A03" w:rsidRPr="007A5E01" w:rsidRDefault="00A14A03" w:rsidP="00AE2262">
            <w:pPr>
              <w:jc w:val="center"/>
              <w:rPr>
                <w:rFonts w:ascii="Times New Roman" w:eastAsia="Times New Roman" w:hAnsi="Times New Roman" w:cs="Times New Roman"/>
                <w:color w:val="000000"/>
              </w:rPr>
            </w:pPr>
            <w:r w:rsidRPr="007A5E01">
              <w:rPr>
                <w:rFonts w:ascii="Times New Roman" w:eastAsia="Times New Roman" w:hAnsi="Times New Roman" w:cs="Times New Roman"/>
                <w:color w:val="000000"/>
              </w:rPr>
              <w:t>Yes</w:t>
            </w:r>
          </w:p>
        </w:tc>
        <w:tc>
          <w:tcPr>
            <w:tcW w:w="1300" w:type="dxa"/>
            <w:tcBorders>
              <w:top w:val="nil"/>
              <w:left w:val="nil"/>
              <w:bottom w:val="nil"/>
              <w:right w:val="nil"/>
            </w:tcBorders>
            <w:shd w:val="clear" w:color="auto" w:fill="auto"/>
            <w:noWrap/>
            <w:vAlign w:val="bottom"/>
            <w:hideMark/>
          </w:tcPr>
          <w:p w14:paraId="26A8CBB1" w14:textId="77777777" w:rsidR="00A14A03" w:rsidRPr="00400D06" w:rsidRDefault="00A14A03" w:rsidP="00AE2262">
            <w:pPr>
              <w:jc w:val="center"/>
              <w:rPr>
                <w:rFonts w:ascii="Times New Roman" w:eastAsia="Times New Roman" w:hAnsi="Times New Roman" w:cs="Times New Roman"/>
                <w:color w:val="000000"/>
              </w:rPr>
            </w:pPr>
            <w:r w:rsidRPr="007A5E01">
              <w:rPr>
                <w:rFonts w:ascii="Times New Roman" w:eastAsia="Times New Roman" w:hAnsi="Times New Roman" w:cs="Times New Roman"/>
                <w:color w:val="000000"/>
              </w:rPr>
              <w:t>8.5</w:t>
            </w:r>
            <w:r w:rsidRPr="00400D06">
              <w:rPr>
                <w:rFonts w:ascii="Times New Roman" w:eastAsia="Times New Roman" w:hAnsi="Times New Roman" w:cs="Times New Roman"/>
                <w:color w:val="000000"/>
              </w:rPr>
              <w:t>5</w:t>
            </w:r>
          </w:p>
        </w:tc>
        <w:tc>
          <w:tcPr>
            <w:tcW w:w="1300" w:type="dxa"/>
            <w:tcBorders>
              <w:top w:val="nil"/>
              <w:left w:val="nil"/>
              <w:bottom w:val="nil"/>
              <w:right w:val="nil"/>
            </w:tcBorders>
            <w:shd w:val="clear" w:color="auto" w:fill="auto"/>
            <w:noWrap/>
            <w:vAlign w:val="bottom"/>
            <w:hideMark/>
          </w:tcPr>
          <w:p w14:paraId="349B0C7C" w14:textId="77777777" w:rsidR="00A14A03" w:rsidRPr="00400D06" w:rsidRDefault="00A14A03" w:rsidP="00AE2262">
            <w:pPr>
              <w:jc w:val="center"/>
              <w:rPr>
                <w:rFonts w:ascii="Times New Roman" w:eastAsia="Times New Roman" w:hAnsi="Times New Roman" w:cs="Times New Roman"/>
                <w:color w:val="000000"/>
              </w:rPr>
            </w:pPr>
            <w:r w:rsidRPr="00400D06">
              <w:rPr>
                <w:rFonts w:ascii="Times New Roman" w:eastAsia="Times New Roman" w:hAnsi="Times New Roman" w:cs="Times New Roman"/>
                <w:color w:val="000000"/>
              </w:rPr>
              <w:t>0</w:t>
            </w:r>
          </w:p>
        </w:tc>
        <w:tc>
          <w:tcPr>
            <w:tcW w:w="1300" w:type="dxa"/>
            <w:tcBorders>
              <w:top w:val="nil"/>
              <w:left w:val="nil"/>
              <w:bottom w:val="nil"/>
              <w:right w:val="nil"/>
            </w:tcBorders>
            <w:shd w:val="clear" w:color="auto" w:fill="auto"/>
            <w:noWrap/>
            <w:vAlign w:val="bottom"/>
            <w:hideMark/>
          </w:tcPr>
          <w:p w14:paraId="3B3AB9F4" w14:textId="77777777" w:rsidR="00A14A03" w:rsidRPr="002C127D" w:rsidRDefault="00A14A03" w:rsidP="00AE2262">
            <w:pPr>
              <w:jc w:val="center"/>
              <w:rPr>
                <w:rFonts w:ascii="Times New Roman" w:eastAsia="Times New Roman" w:hAnsi="Times New Roman" w:cs="Times New Roman"/>
                <w:color w:val="000000"/>
              </w:rPr>
            </w:pPr>
            <w:r w:rsidRPr="002C127D">
              <w:rPr>
                <w:rFonts w:ascii="Times New Roman" w:eastAsia="Times New Roman" w:hAnsi="Times New Roman" w:cs="Times New Roman"/>
                <w:color w:val="000000"/>
              </w:rPr>
              <w:t>1.30</w:t>
            </w:r>
          </w:p>
        </w:tc>
        <w:tc>
          <w:tcPr>
            <w:tcW w:w="1300" w:type="dxa"/>
            <w:tcBorders>
              <w:top w:val="nil"/>
              <w:left w:val="nil"/>
              <w:bottom w:val="nil"/>
              <w:right w:val="nil"/>
            </w:tcBorders>
            <w:shd w:val="clear" w:color="auto" w:fill="auto"/>
            <w:noWrap/>
            <w:vAlign w:val="bottom"/>
            <w:hideMark/>
          </w:tcPr>
          <w:p w14:paraId="56FC955D" w14:textId="77777777" w:rsidR="00A14A03" w:rsidRPr="00E339E4" w:rsidRDefault="00A14A03" w:rsidP="00AE2262">
            <w:pPr>
              <w:jc w:val="center"/>
              <w:rPr>
                <w:rFonts w:ascii="Times New Roman" w:eastAsia="Times New Roman" w:hAnsi="Times New Roman" w:cs="Times New Roman"/>
                <w:color w:val="000000"/>
              </w:rPr>
            </w:pPr>
            <w:r w:rsidRPr="000E33A5">
              <w:rPr>
                <w:rFonts w:ascii="Times New Roman" w:eastAsia="Times New Roman" w:hAnsi="Times New Roman" w:cs="Times New Roman"/>
                <w:color w:val="000000"/>
              </w:rPr>
              <w:t>10.3</w:t>
            </w:r>
            <w:r w:rsidRPr="00E339E4">
              <w:rPr>
                <w:rFonts w:ascii="Times New Roman" w:eastAsia="Times New Roman" w:hAnsi="Times New Roman" w:cs="Times New Roman"/>
                <w:color w:val="000000"/>
              </w:rPr>
              <w:t>6</w:t>
            </w:r>
          </w:p>
        </w:tc>
        <w:tc>
          <w:tcPr>
            <w:tcW w:w="1300" w:type="dxa"/>
            <w:tcBorders>
              <w:top w:val="nil"/>
              <w:left w:val="nil"/>
              <w:bottom w:val="nil"/>
              <w:right w:val="nil"/>
            </w:tcBorders>
            <w:shd w:val="clear" w:color="auto" w:fill="auto"/>
            <w:noWrap/>
            <w:vAlign w:val="bottom"/>
            <w:hideMark/>
          </w:tcPr>
          <w:p w14:paraId="32FAF4D1" w14:textId="77777777" w:rsidR="00A14A03" w:rsidRPr="000E5813" w:rsidRDefault="00A14A03" w:rsidP="00AE2262">
            <w:pPr>
              <w:jc w:val="center"/>
              <w:rPr>
                <w:rFonts w:ascii="Times New Roman" w:eastAsia="Times New Roman" w:hAnsi="Times New Roman" w:cs="Times New Roman"/>
                <w:color w:val="000000"/>
              </w:rPr>
            </w:pPr>
            <w:r w:rsidRPr="000E5813">
              <w:rPr>
                <w:rFonts w:ascii="Times New Roman" w:eastAsia="Times New Roman" w:hAnsi="Times New Roman" w:cs="Times New Roman"/>
                <w:color w:val="000000"/>
              </w:rPr>
              <w:t>384</w:t>
            </w:r>
          </w:p>
        </w:tc>
      </w:tr>
      <w:tr w:rsidR="00A14A03" w:rsidRPr="007A5E01" w14:paraId="4E375CD3" w14:textId="77777777" w:rsidTr="00AE2262">
        <w:trPr>
          <w:trHeight w:val="300"/>
        </w:trPr>
        <w:tc>
          <w:tcPr>
            <w:tcW w:w="2100" w:type="dxa"/>
            <w:tcBorders>
              <w:top w:val="nil"/>
              <w:left w:val="nil"/>
              <w:bottom w:val="nil"/>
              <w:right w:val="nil"/>
            </w:tcBorders>
            <w:shd w:val="clear" w:color="auto" w:fill="auto"/>
            <w:noWrap/>
            <w:vAlign w:val="bottom"/>
            <w:hideMark/>
          </w:tcPr>
          <w:p w14:paraId="5ED725A1" w14:textId="77777777" w:rsidR="00A14A03" w:rsidRPr="007A5E01" w:rsidRDefault="00A14A03" w:rsidP="00AE2262">
            <w:pPr>
              <w:rPr>
                <w:rFonts w:ascii="Times New Roman" w:eastAsia="Times New Roman" w:hAnsi="Times New Roman" w:cs="Times New Roman"/>
                <w:color w:val="000000"/>
              </w:rPr>
            </w:pPr>
          </w:p>
        </w:tc>
        <w:tc>
          <w:tcPr>
            <w:tcW w:w="1300" w:type="dxa"/>
            <w:tcBorders>
              <w:top w:val="nil"/>
              <w:left w:val="nil"/>
              <w:bottom w:val="nil"/>
              <w:right w:val="nil"/>
            </w:tcBorders>
            <w:shd w:val="clear" w:color="auto" w:fill="auto"/>
            <w:noWrap/>
            <w:vAlign w:val="bottom"/>
            <w:hideMark/>
          </w:tcPr>
          <w:p w14:paraId="7ECB6C4C" w14:textId="77777777" w:rsidR="00A14A03" w:rsidRPr="007A5E01" w:rsidRDefault="00A14A03" w:rsidP="00AE2262">
            <w:pPr>
              <w:jc w:val="center"/>
              <w:rPr>
                <w:rFonts w:ascii="Times New Roman" w:eastAsia="Times New Roman" w:hAnsi="Times New Roman" w:cs="Times New Roman"/>
                <w:color w:val="000000"/>
              </w:rPr>
            </w:pPr>
            <w:r w:rsidRPr="007A5E01">
              <w:rPr>
                <w:rFonts w:ascii="Times New Roman" w:eastAsia="Times New Roman" w:hAnsi="Times New Roman" w:cs="Times New Roman"/>
                <w:color w:val="000000"/>
              </w:rPr>
              <w:t>p value</w:t>
            </w:r>
          </w:p>
        </w:tc>
        <w:tc>
          <w:tcPr>
            <w:tcW w:w="1300" w:type="dxa"/>
            <w:tcBorders>
              <w:top w:val="nil"/>
              <w:left w:val="nil"/>
              <w:bottom w:val="nil"/>
              <w:right w:val="nil"/>
            </w:tcBorders>
            <w:shd w:val="clear" w:color="auto" w:fill="auto"/>
            <w:noWrap/>
            <w:vAlign w:val="bottom"/>
            <w:hideMark/>
          </w:tcPr>
          <w:p w14:paraId="5D06A581" w14:textId="77777777" w:rsidR="00A14A03" w:rsidRPr="00400D06" w:rsidRDefault="00A14A03" w:rsidP="00AE2262">
            <w:pPr>
              <w:jc w:val="center"/>
              <w:rPr>
                <w:rFonts w:ascii="Times New Roman" w:eastAsia="Times New Roman" w:hAnsi="Times New Roman" w:cs="Times New Roman"/>
                <w:color w:val="000000"/>
              </w:rPr>
            </w:pPr>
            <w:r w:rsidRPr="007A5E01">
              <w:rPr>
                <w:rFonts w:ascii="Times New Roman" w:eastAsia="Times New Roman" w:hAnsi="Times New Roman" w:cs="Times New Roman"/>
                <w:color w:val="000000"/>
              </w:rPr>
              <w:t>0.5</w:t>
            </w:r>
          </w:p>
        </w:tc>
        <w:tc>
          <w:tcPr>
            <w:tcW w:w="1300" w:type="dxa"/>
            <w:tcBorders>
              <w:top w:val="nil"/>
              <w:left w:val="nil"/>
              <w:bottom w:val="nil"/>
              <w:right w:val="nil"/>
            </w:tcBorders>
            <w:shd w:val="clear" w:color="auto" w:fill="auto"/>
            <w:noWrap/>
            <w:vAlign w:val="bottom"/>
            <w:hideMark/>
          </w:tcPr>
          <w:p w14:paraId="6308367B" w14:textId="77777777" w:rsidR="00A14A03" w:rsidRPr="00400D06" w:rsidRDefault="00A14A03" w:rsidP="00AE2262">
            <w:pPr>
              <w:jc w:val="center"/>
              <w:rPr>
                <w:rFonts w:ascii="Times New Roman" w:eastAsia="Times New Roman" w:hAnsi="Times New Roman" w:cs="Times New Roman"/>
                <w:color w:val="000000"/>
              </w:rPr>
            </w:pPr>
          </w:p>
        </w:tc>
        <w:tc>
          <w:tcPr>
            <w:tcW w:w="1300" w:type="dxa"/>
            <w:tcBorders>
              <w:top w:val="nil"/>
              <w:left w:val="nil"/>
              <w:bottom w:val="nil"/>
              <w:right w:val="nil"/>
            </w:tcBorders>
            <w:shd w:val="clear" w:color="auto" w:fill="auto"/>
            <w:noWrap/>
            <w:vAlign w:val="bottom"/>
            <w:hideMark/>
          </w:tcPr>
          <w:p w14:paraId="4D1EE6BF" w14:textId="77777777" w:rsidR="00A14A03" w:rsidRPr="002C127D" w:rsidRDefault="00A14A03" w:rsidP="00AE2262">
            <w:pPr>
              <w:jc w:val="center"/>
              <w:rPr>
                <w:rFonts w:ascii="Times New Roman" w:eastAsia="Times New Roman" w:hAnsi="Times New Roman" w:cs="Times New Roman"/>
                <w:color w:val="000000"/>
              </w:rPr>
            </w:pPr>
            <w:r w:rsidRPr="002C127D">
              <w:rPr>
                <w:rFonts w:ascii="Times New Roman" w:eastAsia="Times New Roman" w:hAnsi="Times New Roman" w:cs="Times New Roman"/>
                <w:color w:val="000000"/>
              </w:rPr>
              <w:t>0.00***</w:t>
            </w:r>
          </w:p>
        </w:tc>
        <w:tc>
          <w:tcPr>
            <w:tcW w:w="1300" w:type="dxa"/>
            <w:tcBorders>
              <w:top w:val="nil"/>
              <w:left w:val="nil"/>
              <w:bottom w:val="nil"/>
              <w:right w:val="nil"/>
            </w:tcBorders>
            <w:shd w:val="clear" w:color="auto" w:fill="auto"/>
            <w:noWrap/>
            <w:vAlign w:val="bottom"/>
            <w:hideMark/>
          </w:tcPr>
          <w:p w14:paraId="358713F7" w14:textId="77777777" w:rsidR="00A14A03" w:rsidRPr="000E33A5" w:rsidRDefault="00A14A03" w:rsidP="00AE2262">
            <w:pPr>
              <w:jc w:val="center"/>
              <w:rPr>
                <w:rFonts w:ascii="Times New Roman" w:eastAsia="Times New Roman" w:hAnsi="Times New Roman" w:cs="Times New Roman"/>
                <w:color w:val="000000"/>
              </w:rPr>
            </w:pPr>
          </w:p>
        </w:tc>
        <w:tc>
          <w:tcPr>
            <w:tcW w:w="1300" w:type="dxa"/>
            <w:tcBorders>
              <w:top w:val="nil"/>
              <w:left w:val="nil"/>
              <w:bottom w:val="nil"/>
              <w:right w:val="nil"/>
            </w:tcBorders>
            <w:shd w:val="clear" w:color="auto" w:fill="auto"/>
            <w:noWrap/>
            <w:vAlign w:val="bottom"/>
            <w:hideMark/>
          </w:tcPr>
          <w:p w14:paraId="1A15B7C2" w14:textId="77777777" w:rsidR="00A14A03" w:rsidRPr="00E339E4" w:rsidRDefault="00A14A03" w:rsidP="00AE2262">
            <w:pPr>
              <w:jc w:val="center"/>
              <w:rPr>
                <w:rFonts w:ascii="Times New Roman" w:eastAsia="Times New Roman" w:hAnsi="Times New Roman" w:cs="Times New Roman"/>
                <w:color w:val="000000"/>
              </w:rPr>
            </w:pPr>
          </w:p>
        </w:tc>
      </w:tr>
      <w:tr w:rsidR="00A14A03" w:rsidRPr="007A5E01" w14:paraId="39EE98EB" w14:textId="77777777" w:rsidTr="00AE2262">
        <w:trPr>
          <w:trHeight w:val="300"/>
        </w:trPr>
        <w:tc>
          <w:tcPr>
            <w:tcW w:w="2100" w:type="dxa"/>
            <w:tcBorders>
              <w:top w:val="nil"/>
              <w:left w:val="nil"/>
              <w:bottom w:val="nil"/>
              <w:right w:val="nil"/>
            </w:tcBorders>
            <w:shd w:val="clear" w:color="auto" w:fill="auto"/>
            <w:noWrap/>
            <w:vAlign w:val="bottom"/>
            <w:hideMark/>
          </w:tcPr>
          <w:p w14:paraId="3CF0F234" w14:textId="77777777" w:rsidR="00A14A03" w:rsidRPr="007A5E01" w:rsidRDefault="00A14A03" w:rsidP="00AE2262">
            <w:pPr>
              <w:rPr>
                <w:rFonts w:ascii="Times New Roman" w:eastAsia="Times New Roman" w:hAnsi="Times New Roman" w:cs="Times New Roman"/>
                <w:color w:val="000000"/>
              </w:rPr>
            </w:pPr>
            <w:r w:rsidRPr="007A5E01">
              <w:rPr>
                <w:rFonts w:ascii="Times New Roman" w:eastAsia="Times New Roman" w:hAnsi="Times New Roman" w:cs="Times New Roman"/>
                <w:color w:val="000000"/>
              </w:rPr>
              <w:t>Total Debt/Assets</w:t>
            </w:r>
          </w:p>
        </w:tc>
        <w:tc>
          <w:tcPr>
            <w:tcW w:w="1300" w:type="dxa"/>
            <w:tcBorders>
              <w:top w:val="nil"/>
              <w:left w:val="nil"/>
              <w:bottom w:val="nil"/>
              <w:right w:val="nil"/>
            </w:tcBorders>
            <w:shd w:val="clear" w:color="auto" w:fill="auto"/>
            <w:noWrap/>
            <w:vAlign w:val="bottom"/>
            <w:hideMark/>
          </w:tcPr>
          <w:p w14:paraId="02888FC8" w14:textId="77777777" w:rsidR="00A14A03" w:rsidRPr="007A5E01" w:rsidRDefault="00A14A03" w:rsidP="00AE2262">
            <w:pPr>
              <w:jc w:val="center"/>
              <w:rPr>
                <w:rFonts w:ascii="Times New Roman" w:eastAsia="Times New Roman" w:hAnsi="Times New Roman" w:cs="Times New Roman"/>
                <w:color w:val="000000"/>
              </w:rPr>
            </w:pPr>
            <w:r w:rsidRPr="007A5E01">
              <w:rPr>
                <w:rFonts w:ascii="Times New Roman" w:eastAsia="Times New Roman" w:hAnsi="Times New Roman" w:cs="Times New Roman"/>
                <w:color w:val="000000"/>
              </w:rPr>
              <w:t>No</w:t>
            </w:r>
          </w:p>
        </w:tc>
        <w:tc>
          <w:tcPr>
            <w:tcW w:w="1300" w:type="dxa"/>
            <w:tcBorders>
              <w:top w:val="nil"/>
              <w:left w:val="nil"/>
              <w:bottom w:val="nil"/>
              <w:right w:val="nil"/>
            </w:tcBorders>
            <w:shd w:val="clear" w:color="auto" w:fill="auto"/>
            <w:noWrap/>
            <w:vAlign w:val="bottom"/>
            <w:hideMark/>
          </w:tcPr>
          <w:p w14:paraId="4C00ABCB" w14:textId="77777777" w:rsidR="00A14A03" w:rsidRPr="00400D06" w:rsidRDefault="00A14A03" w:rsidP="00AE2262">
            <w:pPr>
              <w:jc w:val="center"/>
              <w:rPr>
                <w:rFonts w:ascii="Times New Roman" w:eastAsia="Times New Roman" w:hAnsi="Times New Roman" w:cs="Times New Roman"/>
                <w:color w:val="000000"/>
              </w:rPr>
            </w:pPr>
            <w:r w:rsidRPr="007A5E01">
              <w:rPr>
                <w:rFonts w:ascii="Times New Roman" w:eastAsia="Times New Roman" w:hAnsi="Times New Roman" w:cs="Times New Roman"/>
                <w:color w:val="000000"/>
              </w:rPr>
              <w:t>22.2</w:t>
            </w:r>
            <w:r w:rsidRPr="00400D06">
              <w:rPr>
                <w:rFonts w:ascii="Times New Roman" w:eastAsia="Times New Roman" w:hAnsi="Times New Roman" w:cs="Times New Roman"/>
                <w:color w:val="000000"/>
              </w:rPr>
              <w:t>9</w:t>
            </w:r>
          </w:p>
        </w:tc>
        <w:tc>
          <w:tcPr>
            <w:tcW w:w="1300" w:type="dxa"/>
            <w:tcBorders>
              <w:top w:val="nil"/>
              <w:left w:val="nil"/>
              <w:bottom w:val="nil"/>
              <w:right w:val="nil"/>
            </w:tcBorders>
            <w:shd w:val="clear" w:color="auto" w:fill="auto"/>
            <w:noWrap/>
            <w:vAlign w:val="bottom"/>
            <w:hideMark/>
          </w:tcPr>
          <w:p w14:paraId="50CB772B" w14:textId="77777777" w:rsidR="00A14A03" w:rsidRPr="00400D06" w:rsidRDefault="00A14A03" w:rsidP="00AE2262">
            <w:pPr>
              <w:jc w:val="center"/>
              <w:rPr>
                <w:rFonts w:ascii="Times New Roman" w:eastAsia="Times New Roman" w:hAnsi="Times New Roman" w:cs="Times New Roman"/>
                <w:color w:val="000000"/>
              </w:rPr>
            </w:pPr>
            <w:r w:rsidRPr="00400D06">
              <w:rPr>
                <w:rFonts w:ascii="Times New Roman" w:eastAsia="Times New Roman" w:hAnsi="Times New Roman" w:cs="Times New Roman"/>
                <w:color w:val="000000"/>
              </w:rPr>
              <w:t>2.94</w:t>
            </w:r>
          </w:p>
        </w:tc>
        <w:tc>
          <w:tcPr>
            <w:tcW w:w="1300" w:type="dxa"/>
            <w:tcBorders>
              <w:top w:val="nil"/>
              <w:left w:val="nil"/>
              <w:bottom w:val="nil"/>
              <w:right w:val="nil"/>
            </w:tcBorders>
            <w:shd w:val="clear" w:color="auto" w:fill="auto"/>
            <w:noWrap/>
            <w:vAlign w:val="bottom"/>
            <w:hideMark/>
          </w:tcPr>
          <w:p w14:paraId="28A79719" w14:textId="77777777" w:rsidR="00A14A03" w:rsidRPr="002C127D" w:rsidRDefault="00A14A03" w:rsidP="00AE2262">
            <w:pPr>
              <w:jc w:val="center"/>
              <w:rPr>
                <w:rFonts w:ascii="Times New Roman" w:eastAsia="Times New Roman" w:hAnsi="Times New Roman" w:cs="Times New Roman"/>
                <w:color w:val="000000"/>
              </w:rPr>
            </w:pPr>
            <w:r w:rsidRPr="002C127D">
              <w:rPr>
                <w:rFonts w:ascii="Times New Roman" w:eastAsia="Times New Roman" w:hAnsi="Times New Roman" w:cs="Times New Roman"/>
                <w:color w:val="000000"/>
              </w:rPr>
              <w:t>18.38</w:t>
            </w:r>
          </w:p>
        </w:tc>
        <w:tc>
          <w:tcPr>
            <w:tcW w:w="1300" w:type="dxa"/>
            <w:tcBorders>
              <w:top w:val="nil"/>
              <w:left w:val="nil"/>
              <w:bottom w:val="nil"/>
              <w:right w:val="nil"/>
            </w:tcBorders>
            <w:shd w:val="clear" w:color="auto" w:fill="auto"/>
            <w:noWrap/>
            <w:vAlign w:val="bottom"/>
            <w:hideMark/>
          </w:tcPr>
          <w:p w14:paraId="405C51D4" w14:textId="77777777" w:rsidR="00A14A03" w:rsidRPr="000E33A5" w:rsidRDefault="00A14A03" w:rsidP="00AE2262">
            <w:pPr>
              <w:jc w:val="center"/>
              <w:rPr>
                <w:rFonts w:ascii="Times New Roman" w:eastAsia="Times New Roman" w:hAnsi="Times New Roman" w:cs="Times New Roman"/>
                <w:color w:val="000000"/>
              </w:rPr>
            </w:pPr>
            <w:r w:rsidRPr="000E33A5">
              <w:rPr>
                <w:rFonts w:ascii="Times New Roman" w:eastAsia="Times New Roman" w:hAnsi="Times New Roman" w:cs="Times New Roman"/>
                <w:color w:val="000000"/>
              </w:rPr>
              <w:t>34.08</w:t>
            </w:r>
          </w:p>
        </w:tc>
        <w:tc>
          <w:tcPr>
            <w:tcW w:w="1300" w:type="dxa"/>
            <w:tcBorders>
              <w:top w:val="nil"/>
              <w:left w:val="nil"/>
              <w:bottom w:val="nil"/>
              <w:right w:val="nil"/>
            </w:tcBorders>
            <w:shd w:val="clear" w:color="auto" w:fill="auto"/>
            <w:noWrap/>
            <w:vAlign w:val="bottom"/>
            <w:hideMark/>
          </w:tcPr>
          <w:p w14:paraId="30BC1140" w14:textId="77777777" w:rsidR="00A14A03" w:rsidRPr="00E339E4" w:rsidRDefault="00A14A03" w:rsidP="00AE2262">
            <w:pPr>
              <w:jc w:val="center"/>
              <w:rPr>
                <w:rFonts w:ascii="Times New Roman" w:eastAsia="Times New Roman" w:hAnsi="Times New Roman" w:cs="Times New Roman"/>
                <w:color w:val="000000"/>
              </w:rPr>
            </w:pPr>
            <w:r w:rsidRPr="00E339E4">
              <w:rPr>
                <w:rFonts w:ascii="Times New Roman" w:eastAsia="Times New Roman" w:hAnsi="Times New Roman" w:cs="Times New Roman"/>
                <w:color w:val="000000"/>
              </w:rPr>
              <w:t>284</w:t>
            </w:r>
          </w:p>
        </w:tc>
      </w:tr>
      <w:tr w:rsidR="00A14A03" w:rsidRPr="007A5E01" w14:paraId="6074BFD7" w14:textId="77777777" w:rsidTr="00AE2262">
        <w:trPr>
          <w:trHeight w:val="300"/>
        </w:trPr>
        <w:tc>
          <w:tcPr>
            <w:tcW w:w="2100" w:type="dxa"/>
            <w:tcBorders>
              <w:top w:val="nil"/>
              <w:left w:val="nil"/>
              <w:bottom w:val="nil"/>
              <w:right w:val="nil"/>
            </w:tcBorders>
            <w:shd w:val="clear" w:color="auto" w:fill="auto"/>
            <w:noWrap/>
            <w:vAlign w:val="bottom"/>
            <w:hideMark/>
          </w:tcPr>
          <w:p w14:paraId="116D52F4" w14:textId="77777777" w:rsidR="00A14A03" w:rsidRPr="007A5E01" w:rsidRDefault="00A14A03" w:rsidP="00AE2262">
            <w:pPr>
              <w:rPr>
                <w:rFonts w:ascii="Times New Roman" w:eastAsia="Times New Roman" w:hAnsi="Times New Roman" w:cs="Times New Roman"/>
                <w:color w:val="000000"/>
              </w:rPr>
            </w:pPr>
          </w:p>
        </w:tc>
        <w:tc>
          <w:tcPr>
            <w:tcW w:w="1300" w:type="dxa"/>
            <w:tcBorders>
              <w:top w:val="nil"/>
              <w:left w:val="nil"/>
              <w:bottom w:val="nil"/>
              <w:right w:val="nil"/>
            </w:tcBorders>
            <w:shd w:val="clear" w:color="auto" w:fill="auto"/>
            <w:noWrap/>
            <w:vAlign w:val="bottom"/>
            <w:hideMark/>
          </w:tcPr>
          <w:p w14:paraId="2A141D7A" w14:textId="77777777" w:rsidR="00A14A03" w:rsidRPr="007A5E01" w:rsidRDefault="00A14A03" w:rsidP="00AE2262">
            <w:pPr>
              <w:jc w:val="center"/>
              <w:rPr>
                <w:rFonts w:ascii="Times New Roman" w:eastAsia="Times New Roman" w:hAnsi="Times New Roman" w:cs="Times New Roman"/>
                <w:color w:val="000000"/>
              </w:rPr>
            </w:pPr>
            <w:r w:rsidRPr="007A5E01">
              <w:rPr>
                <w:rFonts w:ascii="Times New Roman" w:eastAsia="Times New Roman" w:hAnsi="Times New Roman" w:cs="Times New Roman"/>
                <w:color w:val="000000"/>
              </w:rPr>
              <w:t>Yes</w:t>
            </w:r>
          </w:p>
        </w:tc>
        <w:tc>
          <w:tcPr>
            <w:tcW w:w="1300" w:type="dxa"/>
            <w:tcBorders>
              <w:top w:val="nil"/>
              <w:left w:val="nil"/>
              <w:bottom w:val="nil"/>
              <w:right w:val="nil"/>
            </w:tcBorders>
            <w:shd w:val="clear" w:color="auto" w:fill="auto"/>
            <w:noWrap/>
            <w:vAlign w:val="bottom"/>
            <w:hideMark/>
          </w:tcPr>
          <w:p w14:paraId="60BBAC0F" w14:textId="77777777" w:rsidR="00A14A03" w:rsidRPr="00400D06" w:rsidRDefault="00A14A03" w:rsidP="00AE2262">
            <w:pPr>
              <w:jc w:val="center"/>
              <w:rPr>
                <w:rFonts w:ascii="Times New Roman" w:eastAsia="Times New Roman" w:hAnsi="Times New Roman" w:cs="Times New Roman"/>
                <w:color w:val="000000"/>
              </w:rPr>
            </w:pPr>
            <w:r w:rsidRPr="007A5E01">
              <w:rPr>
                <w:rFonts w:ascii="Times New Roman" w:eastAsia="Times New Roman" w:hAnsi="Times New Roman" w:cs="Times New Roman"/>
                <w:color w:val="000000"/>
              </w:rPr>
              <w:t>17.26</w:t>
            </w:r>
          </w:p>
        </w:tc>
        <w:tc>
          <w:tcPr>
            <w:tcW w:w="1300" w:type="dxa"/>
            <w:tcBorders>
              <w:top w:val="nil"/>
              <w:left w:val="nil"/>
              <w:bottom w:val="nil"/>
              <w:right w:val="nil"/>
            </w:tcBorders>
            <w:shd w:val="clear" w:color="auto" w:fill="auto"/>
            <w:noWrap/>
            <w:vAlign w:val="bottom"/>
            <w:hideMark/>
          </w:tcPr>
          <w:p w14:paraId="1AC49404" w14:textId="77777777" w:rsidR="00A14A03" w:rsidRPr="00400D06" w:rsidRDefault="00A14A03" w:rsidP="00AE2262">
            <w:pPr>
              <w:jc w:val="center"/>
              <w:rPr>
                <w:rFonts w:ascii="Times New Roman" w:eastAsia="Times New Roman" w:hAnsi="Times New Roman" w:cs="Times New Roman"/>
                <w:color w:val="000000"/>
              </w:rPr>
            </w:pPr>
            <w:r w:rsidRPr="00400D06">
              <w:rPr>
                <w:rFonts w:ascii="Times New Roman" w:eastAsia="Times New Roman" w:hAnsi="Times New Roman" w:cs="Times New Roman"/>
                <w:color w:val="000000"/>
              </w:rPr>
              <w:t>0</w:t>
            </w:r>
          </w:p>
        </w:tc>
        <w:tc>
          <w:tcPr>
            <w:tcW w:w="1300" w:type="dxa"/>
            <w:tcBorders>
              <w:top w:val="nil"/>
              <w:left w:val="nil"/>
              <w:bottom w:val="nil"/>
              <w:right w:val="nil"/>
            </w:tcBorders>
            <w:shd w:val="clear" w:color="auto" w:fill="auto"/>
            <w:noWrap/>
            <w:vAlign w:val="bottom"/>
            <w:hideMark/>
          </w:tcPr>
          <w:p w14:paraId="026F2BC2" w14:textId="77777777" w:rsidR="00A14A03" w:rsidRPr="002C127D" w:rsidRDefault="00A14A03" w:rsidP="00AE2262">
            <w:pPr>
              <w:jc w:val="center"/>
              <w:rPr>
                <w:rFonts w:ascii="Times New Roman" w:eastAsia="Times New Roman" w:hAnsi="Times New Roman" w:cs="Times New Roman"/>
                <w:color w:val="000000"/>
              </w:rPr>
            </w:pPr>
            <w:r w:rsidRPr="002C127D">
              <w:rPr>
                <w:rFonts w:ascii="Times New Roman" w:eastAsia="Times New Roman" w:hAnsi="Times New Roman" w:cs="Times New Roman"/>
                <w:color w:val="000000"/>
              </w:rPr>
              <w:t>4.86</w:t>
            </w:r>
          </w:p>
        </w:tc>
        <w:tc>
          <w:tcPr>
            <w:tcW w:w="1300" w:type="dxa"/>
            <w:tcBorders>
              <w:top w:val="nil"/>
              <w:left w:val="nil"/>
              <w:bottom w:val="nil"/>
              <w:right w:val="nil"/>
            </w:tcBorders>
            <w:shd w:val="clear" w:color="auto" w:fill="auto"/>
            <w:noWrap/>
            <w:vAlign w:val="bottom"/>
            <w:hideMark/>
          </w:tcPr>
          <w:p w14:paraId="7DEE5DD5" w14:textId="77777777" w:rsidR="00A14A03" w:rsidRPr="000E33A5" w:rsidRDefault="00A14A03" w:rsidP="00AE2262">
            <w:pPr>
              <w:jc w:val="center"/>
              <w:rPr>
                <w:rFonts w:ascii="Times New Roman" w:eastAsia="Times New Roman" w:hAnsi="Times New Roman" w:cs="Times New Roman"/>
                <w:color w:val="000000"/>
              </w:rPr>
            </w:pPr>
            <w:r w:rsidRPr="000E33A5">
              <w:rPr>
                <w:rFonts w:ascii="Times New Roman" w:eastAsia="Times New Roman" w:hAnsi="Times New Roman" w:cs="Times New Roman"/>
                <w:color w:val="000000"/>
              </w:rPr>
              <w:t>22.00</w:t>
            </w:r>
          </w:p>
        </w:tc>
        <w:tc>
          <w:tcPr>
            <w:tcW w:w="1300" w:type="dxa"/>
            <w:tcBorders>
              <w:top w:val="nil"/>
              <w:left w:val="nil"/>
              <w:bottom w:val="nil"/>
              <w:right w:val="nil"/>
            </w:tcBorders>
            <w:shd w:val="clear" w:color="auto" w:fill="auto"/>
            <w:noWrap/>
            <w:vAlign w:val="bottom"/>
            <w:hideMark/>
          </w:tcPr>
          <w:p w14:paraId="3C92A29A" w14:textId="77777777" w:rsidR="00A14A03" w:rsidRPr="00E339E4" w:rsidRDefault="00A14A03" w:rsidP="00AE2262">
            <w:pPr>
              <w:jc w:val="center"/>
              <w:rPr>
                <w:rFonts w:ascii="Times New Roman" w:eastAsia="Times New Roman" w:hAnsi="Times New Roman" w:cs="Times New Roman"/>
                <w:color w:val="000000"/>
              </w:rPr>
            </w:pPr>
            <w:r w:rsidRPr="00E339E4">
              <w:rPr>
                <w:rFonts w:ascii="Times New Roman" w:eastAsia="Times New Roman" w:hAnsi="Times New Roman" w:cs="Times New Roman"/>
                <w:color w:val="000000"/>
              </w:rPr>
              <w:t>384</w:t>
            </w:r>
          </w:p>
        </w:tc>
      </w:tr>
      <w:tr w:rsidR="00A14A03" w:rsidRPr="007A5E01" w14:paraId="1DDE1E40" w14:textId="77777777" w:rsidTr="00AE2262">
        <w:trPr>
          <w:trHeight w:val="300"/>
        </w:trPr>
        <w:tc>
          <w:tcPr>
            <w:tcW w:w="2100" w:type="dxa"/>
            <w:tcBorders>
              <w:top w:val="nil"/>
              <w:left w:val="nil"/>
              <w:bottom w:val="nil"/>
              <w:right w:val="nil"/>
            </w:tcBorders>
            <w:shd w:val="clear" w:color="auto" w:fill="auto"/>
            <w:noWrap/>
            <w:vAlign w:val="bottom"/>
            <w:hideMark/>
          </w:tcPr>
          <w:p w14:paraId="79F08966" w14:textId="77777777" w:rsidR="00A14A03" w:rsidRPr="007A5E01" w:rsidRDefault="00A14A03" w:rsidP="00AE2262">
            <w:pPr>
              <w:rPr>
                <w:rFonts w:ascii="Times New Roman" w:eastAsia="Times New Roman" w:hAnsi="Times New Roman" w:cs="Times New Roman"/>
                <w:color w:val="000000"/>
              </w:rPr>
            </w:pPr>
          </w:p>
        </w:tc>
        <w:tc>
          <w:tcPr>
            <w:tcW w:w="1300" w:type="dxa"/>
            <w:tcBorders>
              <w:top w:val="nil"/>
              <w:left w:val="nil"/>
              <w:bottom w:val="nil"/>
              <w:right w:val="nil"/>
            </w:tcBorders>
            <w:shd w:val="clear" w:color="auto" w:fill="auto"/>
            <w:noWrap/>
            <w:vAlign w:val="bottom"/>
            <w:hideMark/>
          </w:tcPr>
          <w:p w14:paraId="1BD3F648" w14:textId="77777777" w:rsidR="00A14A03" w:rsidRPr="007A5E01" w:rsidRDefault="00A14A03" w:rsidP="00AE2262">
            <w:pPr>
              <w:jc w:val="center"/>
              <w:rPr>
                <w:rFonts w:ascii="Times New Roman" w:eastAsia="Times New Roman" w:hAnsi="Times New Roman" w:cs="Times New Roman"/>
                <w:color w:val="000000"/>
              </w:rPr>
            </w:pPr>
            <w:r w:rsidRPr="007A5E01">
              <w:rPr>
                <w:rFonts w:ascii="Times New Roman" w:eastAsia="Times New Roman" w:hAnsi="Times New Roman" w:cs="Times New Roman"/>
                <w:color w:val="000000"/>
              </w:rPr>
              <w:t>p value</w:t>
            </w:r>
          </w:p>
        </w:tc>
        <w:tc>
          <w:tcPr>
            <w:tcW w:w="1300" w:type="dxa"/>
            <w:tcBorders>
              <w:top w:val="nil"/>
              <w:left w:val="nil"/>
              <w:bottom w:val="nil"/>
              <w:right w:val="nil"/>
            </w:tcBorders>
            <w:shd w:val="clear" w:color="auto" w:fill="auto"/>
            <w:noWrap/>
            <w:vAlign w:val="bottom"/>
            <w:hideMark/>
          </w:tcPr>
          <w:p w14:paraId="2D9BF51C" w14:textId="77777777" w:rsidR="00A14A03" w:rsidRPr="00400D06" w:rsidRDefault="00A14A03" w:rsidP="00AE2262">
            <w:pPr>
              <w:jc w:val="center"/>
              <w:rPr>
                <w:rFonts w:ascii="Times New Roman" w:eastAsia="Times New Roman" w:hAnsi="Times New Roman" w:cs="Times New Roman"/>
                <w:color w:val="000000"/>
              </w:rPr>
            </w:pPr>
            <w:r w:rsidRPr="007A5E01">
              <w:rPr>
                <w:rFonts w:ascii="Times New Roman" w:eastAsia="Times New Roman" w:hAnsi="Times New Roman" w:cs="Times New Roman"/>
                <w:color w:val="000000"/>
              </w:rPr>
              <w:t>0.04**</w:t>
            </w:r>
          </w:p>
        </w:tc>
        <w:tc>
          <w:tcPr>
            <w:tcW w:w="1300" w:type="dxa"/>
            <w:tcBorders>
              <w:top w:val="nil"/>
              <w:left w:val="nil"/>
              <w:bottom w:val="nil"/>
              <w:right w:val="nil"/>
            </w:tcBorders>
            <w:shd w:val="clear" w:color="auto" w:fill="auto"/>
            <w:noWrap/>
            <w:vAlign w:val="bottom"/>
            <w:hideMark/>
          </w:tcPr>
          <w:p w14:paraId="5316FB8D" w14:textId="77777777" w:rsidR="00A14A03" w:rsidRPr="00400D06" w:rsidRDefault="00A14A03" w:rsidP="00AE2262">
            <w:pPr>
              <w:jc w:val="center"/>
              <w:rPr>
                <w:rFonts w:ascii="Times New Roman" w:eastAsia="Times New Roman" w:hAnsi="Times New Roman" w:cs="Times New Roman"/>
                <w:color w:val="000000"/>
              </w:rPr>
            </w:pPr>
          </w:p>
        </w:tc>
        <w:tc>
          <w:tcPr>
            <w:tcW w:w="1300" w:type="dxa"/>
            <w:tcBorders>
              <w:top w:val="nil"/>
              <w:left w:val="nil"/>
              <w:bottom w:val="nil"/>
              <w:right w:val="nil"/>
            </w:tcBorders>
            <w:shd w:val="clear" w:color="auto" w:fill="auto"/>
            <w:noWrap/>
            <w:vAlign w:val="bottom"/>
            <w:hideMark/>
          </w:tcPr>
          <w:p w14:paraId="33BD3BE5" w14:textId="77777777" w:rsidR="00A14A03" w:rsidRPr="002C127D" w:rsidRDefault="00A14A03" w:rsidP="00AE2262">
            <w:pPr>
              <w:jc w:val="center"/>
              <w:rPr>
                <w:rFonts w:ascii="Times New Roman" w:eastAsia="Times New Roman" w:hAnsi="Times New Roman" w:cs="Times New Roman"/>
                <w:color w:val="000000"/>
              </w:rPr>
            </w:pPr>
            <w:r w:rsidRPr="002C127D">
              <w:rPr>
                <w:rFonts w:ascii="Times New Roman" w:eastAsia="Times New Roman" w:hAnsi="Times New Roman" w:cs="Times New Roman"/>
                <w:color w:val="000000"/>
              </w:rPr>
              <w:t>0.00***</w:t>
            </w:r>
          </w:p>
        </w:tc>
        <w:tc>
          <w:tcPr>
            <w:tcW w:w="1300" w:type="dxa"/>
            <w:tcBorders>
              <w:top w:val="nil"/>
              <w:left w:val="nil"/>
              <w:bottom w:val="nil"/>
              <w:right w:val="nil"/>
            </w:tcBorders>
            <w:shd w:val="clear" w:color="auto" w:fill="auto"/>
            <w:noWrap/>
            <w:vAlign w:val="bottom"/>
            <w:hideMark/>
          </w:tcPr>
          <w:p w14:paraId="7DAF9AB4" w14:textId="77777777" w:rsidR="00A14A03" w:rsidRPr="000E33A5" w:rsidRDefault="00A14A03" w:rsidP="00AE2262">
            <w:pPr>
              <w:jc w:val="center"/>
              <w:rPr>
                <w:rFonts w:ascii="Times New Roman" w:eastAsia="Times New Roman" w:hAnsi="Times New Roman" w:cs="Times New Roman"/>
                <w:color w:val="000000"/>
              </w:rPr>
            </w:pPr>
          </w:p>
        </w:tc>
        <w:tc>
          <w:tcPr>
            <w:tcW w:w="1300" w:type="dxa"/>
            <w:tcBorders>
              <w:top w:val="nil"/>
              <w:left w:val="nil"/>
              <w:bottom w:val="nil"/>
              <w:right w:val="nil"/>
            </w:tcBorders>
            <w:shd w:val="clear" w:color="auto" w:fill="auto"/>
            <w:noWrap/>
            <w:vAlign w:val="bottom"/>
            <w:hideMark/>
          </w:tcPr>
          <w:p w14:paraId="54CED56A" w14:textId="77777777" w:rsidR="00A14A03" w:rsidRPr="00E339E4" w:rsidRDefault="00A14A03" w:rsidP="00AE2262">
            <w:pPr>
              <w:jc w:val="center"/>
              <w:rPr>
                <w:rFonts w:ascii="Times New Roman" w:eastAsia="Times New Roman" w:hAnsi="Times New Roman" w:cs="Times New Roman"/>
                <w:color w:val="000000"/>
              </w:rPr>
            </w:pPr>
          </w:p>
        </w:tc>
      </w:tr>
      <w:tr w:rsidR="00A14A03" w:rsidRPr="007A5E01" w14:paraId="07306841" w14:textId="77777777" w:rsidTr="00AE2262">
        <w:trPr>
          <w:trHeight w:val="300"/>
        </w:trPr>
        <w:tc>
          <w:tcPr>
            <w:tcW w:w="2100" w:type="dxa"/>
            <w:tcBorders>
              <w:top w:val="nil"/>
              <w:left w:val="nil"/>
              <w:bottom w:val="nil"/>
              <w:right w:val="nil"/>
            </w:tcBorders>
            <w:shd w:val="clear" w:color="auto" w:fill="auto"/>
            <w:noWrap/>
            <w:vAlign w:val="bottom"/>
            <w:hideMark/>
          </w:tcPr>
          <w:p w14:paraId="6D3B2F73" w14:textId="77777777" w:rsidR="00A14A03" w:rsidRPr="007A5E01" w:rsidRDefault="00A14A03" w:rsidP="00AE2262">
            <w:pPr>
              <w:rPr>
                <w:rFonts w:ascii="Times New Roman" w:eastAsia="Times New Roman" w:hAnsi="Times New Roman" w:cs="Times New Roman"/>
                <w:color w:val="000000"/>
              </w:rPr>
            </w:pPr>
            <w:r w:rsidRPr="007A5E01">
              <w:rPr>
                <w:rFonts w:ascii="Times New Roman" w:eastAsia="Times New Roman" w:hAnsi="Times New Roman" w:cs="Times New Roman"/>
                <w:color w:val="000000"/>
              </w:rPr>
              <w:t>Intangibles/Assets</w:t>
            </w:r>
          </w:p>
        </w:tc>
        <w:tc>
          <w:tcPr>
            <w:tcW w:w="1300" w:type="dxa"/>
            <w:tcBorders>
              <w:top w:val="nil"/>
              <w:left w:val="nil"/>
              <w:bottom w:val="nil"/>
              <w:right w:val="nil"/>
            </w:tcBorders>
            <w:shd w:val="clear" w:color="auto" w:fill="auto"/>
            <w:noWrap/>
            <w:vAlign w:val="bottom"/>
            <w:hideMark/>
          </w:tcPr>
          <w:p w14:paraId="12984372" w14:textId="77777777" w:rsidR="00A14A03" w:rsidRPr="007A5E01" w:rsidRDefault="00A14A03" w:rsidP="00AE2262">
            <w:pPr>
              <w:jc w:val="center"/>
              <w:rPr>
                <w:rFonts w:ascii="Times New Roman" w:eastAsia="Times New Roman" w:hAnsi="Times New Roman" w:cs="Times New Roman"/>
                <w:color w:val="000000"/>
              </w:rPr>
            </w:pPr>
            <w:r w:rsidRPr="007A5E01">
              <w:rPr>
                <w:rFonts w:ascii="Times New Roman" w:eastAsia="Times New Roman" w:hAnsi="Times New Roman" w:cs="Times New Roman"/>
                <w:color w:val="000000"/>
              </w:rPr>
              <w:t>No</w:t>
            </w:r>
          </w:p>
        </w:tc>
        <w:tc>
          <w:tcPr>
            <w:tcW w:w="1300" w:type="dxa"/>
            <w:tcBorders>
              <w:top w:val="nil"/>
              <w:left w:val="nil"/>
              <w:bottom w:val="nil"/>
              <w:right w:val="nil"/>
            </w:tcBorders>
            <w:shd w:val="clear" w:color="auto" w:fill="auto"/>
            <w:noWrap/>
            <w:vAlign w:val="bottom"/>
            <w:hideMark/>
          </w:tcPr>
          <w:p w14:paraId="766018D8" w14:textId="77777777" w:rsidR="00A14A03" w:rsidRPr="00400D06" w:rsidRDefault="00A14A03" w:rsidP="00AE2262">
            <w:pPr>
              <w:jc w:val="center"/>
              <w:rPr>
                <w:rFonts w:ascii="Times New Roman" w:eastAsia="Times New Roman" w:hAnsi="Times New Roman" w:cs="Times New Roman"/>
                <w:color w:val="000000"/>
              </w:rPr>
            </w:pPr>
            <w:r w:rsidRPr="007A5E01">
              <w:rPr>
                <w:rFonts w:ascii="Times New Roman" w:eastAsia="Times New Roman" w:hAnsi="Times New Roman" w:cs="Times New Roman"/>
                <w:color w:val="000000"/>
              </w:rPr>
              <w:t>24.1</w:t>
            </w:r>
            <w:r w:rsidRPr="00400D06">
              <w:rPr>
                <w:rFonts w:ascii="Times New Roman" w:eastAsia="Times New Roman" w:hAnsi="Times New Roman" w:cs="Times New Roman"/>
                <w:color w:val="000000"/>
              </w:rPr>
              <w:t>4</w:t>
            </w:r>
          </w:p>
        </w:tc>
        <w:tc>
          <w:tcPr>
            <w:tcW w:w="1300" w:type="dxa"/>
            <w:tcBorders>
              <w:top w:val="nil"/>
              <w:left w:val="nil"/>
              <w:bottom w:val="nil"/>
              <w:right w:val="nil"/>
            </w:tcBorders>
            <w:shd w:val="clear" w:color="auto" w:fill="auto"/>
            <w:noWrap/>
            <w:vAlign w:val="bottom"/>
            <w:hideMark/>
          </w:tcPr>
          <w:p w14:paraId="5FA60BA8" w14:textId="77777777" w:rsidR="00A14A03" w:rsidRPr="00400D06" w:rsidRDefault="00A14A03" w:rsidP="00AE2262">
            <w:pPr>
              <w:jc w:val="center"/>
              <w:rPr>
                <w:rFonts w:ascii="Times New Roman" w:eastAsia="Times New Roman" w:hAnsi="Times New Roman" w:cs="Times New Roman"/>
                <w:color w:val="000000"/>
              </w:rPr>
            </w:pPr>
            <w:r w:rsidRPr="00400D06">
              <w:rPr>
                <w:rFonts w:ascii="Times New Roman" w:eastAsia="Times New Roman" w:hAnsi="Times New Roman" w:cs="Times New Roman"/>
                <w:color w:val="000000"/>
              </w:rPr>
              <w:t>3.00</w:t>
            </w:r>
          </w:p>
        </w:tc>
        <w:tc>
          <w:tcPr>
            <w:tcW w:w="1300" w:type="dxa"/>
            <w:tcBorders>
              <w:top w:val="nil"/>
              <w:left w:val="nil"/>
              <w:bottom w:val="nil"/>
              <w:right w:val="nil"/>
            </w:tcBorders>
            <w:shd w:val="clear" w:color="auto" w:fill="auto"/>
            <w:noWrap/>
            <w:vAlign w:val="bottom"/>
            <w:hideMark/>
          </w:tcPr>
          <w:p w14:paraId="001A092C" w14:textId="77777777" w:rsidR="00A14A03" w:rsidRPr="002C127D" w:rsidRDefault="00A14A03" w:rsidP="00AE2262">
            <w:pPr>
              <w:jc w:val="center"/>
              <w:rPr>
                <w:rFonts w:ascii="Times New Roman" w:eastAsia="Times New Roman" w:hAnsi="Times New Roman" w:cs="Times New Roman"/>
                <w:color w:val="000000"/>
              </w:rPr>
            </w:pPr>
            <w:r w:rsidRPr="002C127D">
              <w:rPr>
                <w:rFonts w:ascii="Times New Roman" w:eastAsia="Times New Roman" w:hAnsi="Times New Roman" w:cs="Times New Roman"/>
                <w:color w:val="000000"/>
              </w:rPr>
              <w:t>17.43</w:t>
            </w:r>
          </w:p>
        </w:tc>
        <w:tc>
          <w:tcPr>
            <w:tcW w:w="1300" w:type="dxa"/>
            <w:tcBorders>
              <w:top w:val="nil"/>
              <w:left w:val="nil"/>
              <w:bottom w:val="nil"/>
              <w:right w:val="nil"/>
            </w:tcBorders>
            <w:shd w:val="clear" w:color="auto" w:fill="auto"/>
            <w:noWrap/>
            <w:vAlign w:val="bottom"/>
            <w:hideMark/>
          </w:tcPr>
          <w:p w14:paraId="01DE87FF" w14:textId="77777777" w:rsidR="00A14A03" w:rsidRPr="000E33A5" w:rsidRDefault="00A14A03" w:rsidP="00AE2262">
            <w:pPr>
              <w:jc w:val="center"/>
              <w:rPr>
                <w:rFonts w:ascii="Times New Roman" w:eastAsia="Times New Roman" w:hAnsi="Times New Roman" w:cs="Times New Roman"/>
                <w:color w:val="000000"/>
              </w:rPr>
            </w:pPr>
            <w:r w:rsidRPr="000E33A5">
              <w:rPr>
                <w:rFonts w:ascii="Times New Roman" w:eastAsia="Times New Roman" w:hAnsi="Times New Roman" w:cs="Times New Roman"/>
                <w:color w:val="000000"/>
              </w:rPr>
              <w:t>43.75</w:t>
            </w:r>
          </w:p>
        </w:tc>
        <w:tc>
          <w:tcPr>
            <w:tcW w:w="1300" w:type="dxa"/>
            <w:tcBorders>
              <w:top w:val="nil"/>
              <w:left w:val="nil"/>
              <w:bottom w:val="nil"/>
              <w:right w:val="nil"/>
            </w:tcBorders>
            <w:shd w:val="clear" w:color="auto" w:fill="auto"/>
            <w:noWrap/>
            <w:vAlign w:val="bottom"/>
            <w:hideMark/>
          </w:tcPr>
          <w:p w14:paraId="5113FF27" w14:textId="77777777" w:rsidR="00A14A03" w:rsidRPr="00E339E4" w:rsidRDefault="00A14A03" w:rsidP="00AE2262">
            <w:pPr>
              <w:jc w:val="center"/>
              <w:rPr>
                <w:rFonts w:ascii="Times New Roman" w:eastAsia="Times New Roman" w:hAnsi="Times New Roman" w:cs="Times New Roman"/>
                <w:color w:val="000000"/>
              </w:rPr>
            </w:pPr>
            <w:r w:rsidRPr="00E339E4">
              <w:rPr>
                <w:rFonts w:ascii="Times New Roman" w:eastAsia="Times New Roman" w:hAnsi="Times New Roman" w:cs="Times New Roman"/>
                <w:color w:val="000000"/>
              </w:rPr>
              <w:t>284</w:t>
            </w:r>
          </w:p>
        </w:tc>
      </w:tr>
      <w:tr w:rsidR="00A14A03" w:rsidRPr="007A5E01" w14:paraId="6C6D0FF6" w14:textId="77777777" w:rsidTr="00AE2262">
        <w:trPr>
          <w:trHeight w:val="300"/>
        </w:trPr>
        <w:tc>
          <w:tcPr>
            <w:tcW w:w="2100" w:type="dxa"/>
            <w:tcBorders>
              <w:top w:val="nil"/>
              <w:left w:val="nil"/>
              <w:bottom w:val="nil"/>
              <w:right w:val="nil"/>
            </w:tcBorders>
            <w:shd w:val="clear" w:color="auto" w:fill="auto"/>
            <w:noWrap/>
            <w:vAlign w:val="bottom"/>
            <w:hideMark/>
          </w:tcPr>
          <w:p w14:paraId="671C4B25" w14:textId="77777777" w:rsidR="00A14A03" w:rsidRPr="007A5E01" w:rsidRDefault="00A14A03" w:rsidP="00AE2262">
            <w:pPr>
              <w:rPr>
                <w:rFonts w:ascii="Times New Roman" w:eastAsia="Times New Roman" w:hAnsi="Times New Roman" w:cs="Times New Roman"/>
                <w:color w:val="000000"/>
              </w:rPr>
            </w:pPr>
          </w:p>
        </w:tc>
        <w:tc>
          <w:tcPr>
            <w:tcW w:w="1300" w:type="dxa"/>
            <w:tcBorders>
              <w:top w:val="nil"/>
              <w:left w:val="nil"/>
              <w:bottom w:val="nil"/>
              <w:right w:val="nil"/>
            </w:tcBorders>
            <w:shd w:val="clear" w:color="auto" w:fill="auto"/>
            <w:noWrap/>
            <w:vAlign w:val="bottom"/>
            <w:hideMark/>
          </w:tcPr>
          <w:p w14:paraId="437BB9DC" w14:textId="77777777" w:rsidR="00A14A03" w:rsidRPr="007A5E01" w:rsidRDefault="00A14A03" w:rsidP="00AE2262">
            <w:pPr>
              <w:jc w:val="center"/>
              <w:rPr>
                <w:rFonts w:ascii="Times New Roman" w:eastAsia="Times New Roman" w:hAnsi="Times New Roman" w:cs="Times New Roman"/>
                <w:color w:val="000000"/>
              </w:rPr>
            </w:pPr>
            <w:r w:rsidRPr="007A5E01">
              <w:rPr>
                <w:rFonts w:ascii="Times New Roman" w:eastAsia="Times New Roman" w:hAnsi="Times New Roman" w:cs="Times New Roman"/>
                <w:color w:val="000000"/>
              </w:rPr>
              <w:t>Yes</w:t>
            </w:r>
          </w:p>
        </w:tc>
        <w:tc>
          <w:tcPr>
            <w:tcW w:w="1300" w:type="dxa"/>
            <w:tcBorders>
              <w:top w:val="nil"/>
              <w:left w:val="nil"/>
              <w:bottom w:val="nil"/>
              <w:right w:val="nil"/>
            </w:tcBorders>
            <w:shd w:val="clear" w:color="auto" w:fill="auto"/>
            <w:noWrap/>
            <w:vAlign w:val="bottom"/>
            <w:hideMark/>
          </w:tcPr>
          <w:p w14:paraId="7C960A94" w14:textId="77777777" w:rsidR="00A14A03" w:rsidRPr="00400D06" w:rsidRDefault="00A14A03" w:rsidP="00AE2262">
            <w:pPr>
              <w:jc w:val="center"/>
              <w:rPr>
                <w:rFonts w:ascii="Times New Roman" w:eastAsia="Times New Roman" w:hAnsi="Times New Roman" w:cs="Times New Roman"/>
                <w:color w:val="000000"/>
              </w:rPr>
            </w:pPr>
            <w:r w:rsidRPr="007A5E01">
              <w:rPr>
                <w:rFonts w:ascii="Times New Roman" w:eastAsia="Times New Roman" w:hAnsi="Times New Roman" w:cs="Times New Roman"/>
                <w:color w:val="000000"/>
              </w:rPr>
              <w:t>18.1</w:t>
            </w:r>
            <w:r w:rsidRPr="00400D06">
              <w:rPr>
                <w:rFonts w:ascii="Times New Roman" w:eastAsia="Times New Roman" w:hAnsi="Times New Roman" w:cs="Times New Roman"/>
                <w:color w:val="000000"/>
              </w:rPr>
              <w:t>6</w:t>
            </w:r>
          </w:p>
        </w:tc>
        <w:tc>
          <w:tcPr>
            <w:tcW w:w="1300" w:type="dxa"/>
            <w:tcBorders>
              <w:top w:val="nil"/>
              <w:left w:val="nil"/>
              <w:bottom w:val="nil"/>
              <w:right w:val="nil"/>
            </w:tcBorders>
            <w:shd w:val="clear" w:color="auto" w:fill="auto"/>
            <w:noWrap/>
            <w:vAlign w:val="bottom"/>
            <w:hideMark/>
          </w:tcPr>
          <w:p w14:paraId="2320D1EB" w14:textId="77777777" w:rsidR="00A14A03" w:rsidRPr="00400D06" w:rsidRDefault="00A14A03" w:rsidP="00AE2262">
            <w:pPr>
              <w:jc w:val="center"/>
              <w:rPr>
                <w:rFonts w:ascii="Times New Roman" w:eastAsia="Times New Roman" w:hAnsi="Times New Roman" w:cs="Times New Roman"/>
                <w:color w:val="000000"/>
              </w:rPr>
            </w:pPr>
            <w:r w:rsidRPr="00400D06">
              <w:rPr>
                <w:rFonts w:ascii="Times New Roman" w:eastAsia="Times New Roman" w:hAnsi="Times New Roman" w:cs="Times New Roman"/>
                <w:color w:val="000000"/>
              </w:rPr>
              <w:t>1.73</w:t>
            </w:r>
          </w:p>
        </w:tc>
        <w:tc>
          <w:tcPr>
            <w:tcW w:w="1300" w:type="dxa"/>
            <w:tcBorders>
              <w:top w:val="nil"/>
              <w:left w:val="nil"/>
              <w:bottom w:val="nil"/>
              <w:right w:val="nil"/>
            </w:tcBorders>
            <w:shd w:val="clear" w:color="auto" w:fill="auto"/>
            <w:noWrap/>
            <w:vAlign w:val="bottom"/>
            <w:hideMark/>
          </w:tcPr>
          <w:p w14:paraId="3D21EB7B" w14:textId="77777777" w:rsidR="00A14A03" w:rsidRPr="002C127D" w:rsidRDefault="00A14A03" w:rsidP="00AE2262">
            <w:pPr>
              <w:jc w:val="center"/>
              <w:rPr>
                <w:rFonts w:ascii="Times New Roman" w:eastAsia="Times New Roman" w:hAnsi="Times New Roman" w:cs="Times New Roman"/>
                <w:color w:val="000000"/>
              </w:rPr>
            </w:pPr>
            <w:r w:rsidRPr="002C127D">
              <w:rPr>
                <w:rFonts w:ascii="Times New Roman" w:eastAsia="Times New Roman" w:hAnsi="Times New Roman" w:cs="Times New Roman"/>
                <w:color w:val="000000"/>
              </w:rPr>
              <w:t>9.80</w:t>
            </w:r>
          </w:p>
        </w:tc>
        <w:tc>
          <w:tcPr>
            <w:tcW w:w="1300" w:type="dxa"/>
            <w:tcBorders>
              <w:top w:val="nil"/>
              <w:left w:val="nil"/>
              <w:bottom w:val="nil"/>
              <w:right w:val="nil"/>
            </w:tcBorders>
            <w:shd w:val="clear" w:color="auto" w:fill="auto"/>
            <w:noWrap/>
            <w:vAlign w:val="bottom"/>
            <w:hideMark/>
          </w:tcPr>
          <w:p w14:paraId="59538F9F" w14:textId="77777777" w:rsidR="00A14A03" w:rsidRPr="000E33A5" w:rsidRDefault="00A14A03" w:rsidP="00AE2262">
            <w:pPr>
              <w:jc w:val="center"/>
              <w:rPr>
                <w:rFonts w:ascii="Times New Roman" w:eastAsia="Times New Roman" w:hAnsi="Times New Roman" w:cs="Times New Roman"/>
                <w:color w:val="000000"/>
              </w:rPr>
            </w:pPr>
            <w:r w:rsidRPr="000E33A5">
              <w:rPr>
                <w:rFonts w:ascii="Times New Roman" w:eastAsia="Times New Roman" w:hAnsi="Times New Roman" w:cs="Times New Roman"/>
                <w:color w:val="000000"/>
              </w:rPr>
              <w:t>28.84</w:t>
            </w:r>
          </w:p>
        </w:tc>
        <w:tc>
          <w:tcPr>
            <w:tcW w:w="1300" w:type="dxa"/>
            <w:tcBorders>
              <w:top w:val="nil"/>
              <w:left w:val="nil"/>
              <w:bottom w:val="nil"/>
              <w:right w:val="nil"/>
            </w:tcBorders>
            <w:shd w:val="clear" w:color="auto" w:fill="auto"/>
            <w:noWrap/>
            <w:vAlign w:val="bottom"/>
            <w:hideMark/>
          </w:tcPr>
          <w:p w14:paraId="75B99A9B" w14:textId="77777777" w:rsidR="00A14A03" w:rsidRPr="00E339E4" w:rsidRDefault="00A14A03" w:rsidP="00AE2262">
            <w:pPr>
              <w:jc w:val="center"/>
              <w:rPr>
                <w:rFonts w:ascii="Times New Roman" w:eastAsia="Times New Roman" w:hAnsi="Times New Roman" w:cs="Times New Roman"/>
                <w:color w:val="000000"/>
              </w:rPr>
            </w:pPr>
            <w:r w:rsidRPr="00E339E4">
              <w:rPr>
                <w:rFonts w:ascii="Times New Roman" w:eastAsia="Times New Roman" w:hAnsi="Times New Roman" w:cs="Times New Roman"/>
                <w:color w:val="000000"/>
              </w:rPr>
              <w:t>384</w:t>
            </w:r>
          </w:p>
        </w:tc>
      </w:tr>
      <w:tr w:rsidR="00A14A03" w:rsidRPr="007A5E01" w14:paraId="61BF63D6" w14:textId="77777777" w:rsidTr="00AE2262">
        <w:trPr>
          <w:trHeight w:val="300"/>
        </w:trPr>
        <w:tc>
          <w:tcPr>
            <w:tcW w:w="2100" w:type="dxa"/>
            <w:tcBorders>
              <w:top w:val="nil"/>
              <w:left w:val="nil"/>
              <w:bottom w:val="nil"/>
              <w:right w:val="nil"/>
            </w:tcBorders>
            <w:shd w:val="clear" w:color="auto" w:fill="auto"/>
            <w:noWrap/>
            <w:vAlign w:val="bottom"/>
            <w:hideMark/>
          </w:tcPr>
          <w:p w14:paraId="2F0A40B0" w14:textId="77777777" w:rsidR="00A14A03" w:rsidRPr="007A5E01" w:rsidRDefault="00A14A03" w:rsidP="00AE2262">
            <w:pPr>
              <w:rPr>
                <w:rFonts w:ascii="Times New Roman" w:eastAsia="Times New Roman" w:hAnsi="Times New Roman" w:cs="Times New Roman"/>
                <w:color w:val="000000"/>
              </w:rPr>
            </w:pPr>
          </w:p>
        </w:tc>
        <w:tc>
          <w:tcPr>
            <w:tcW w:w="1300" w:type="dxa"/>
            <w:tcBorders>
              <w:top w:val="nil"/>
              <w:left w:val="nil"/>
              <w:bottom w:val="nil"/>
              <w:right w:val="nil"/>
            </w:tcBorders>
            <w:shd w:val="clear" w:color="auto" w:fill="auto"/>
            <w:noWrap/>
            <w:vAlign w:val="bottom"/>
            <w:hideMark/>
          </w:tcPr>
          <w:p w14:paraId="37605E34" w14:textId="77777777" w:rsidR="00A14A03" w:rsidRPr="007A5E01" w:rsidRDefault="00A14A03" w:rsidP="00AE2262">
            <w:pPr>
              <w:jc w:val="center"/>
              <w:rPr>
                <w:rFonts w:ascii="Times New Roman" w:eastAsia="Times New Roman" w:hAnsi="Times New Roman" w:cs="Times New Roman"/>
                <w:color w:val="000000"/>
              </w:rPr>
            </w:pPr>
            <w:r w:rsidRPr="007A5E01">
              <w:rPr>
                <w:rFonts w:ascii="Times New Roman" w:eastAsia="Times New Roman" w:hAnsi="Times New Roman" w:cs="Times New Roman"/>
                <w:color w:val="000000"/>
              </w:rPr>
              <w:t>p value</w:t>
            </w:r>
          </w:p>
        </w:tc>
        <w:tc>
          <w:tcPr>
            <w:tcW w:w="1300" w:type="dxa"/>
            <w:tcBorders>
              <w:top w:val="nil"/>
              <w:left w:val="nil"/>
              <w:bottom w:val="nil"/>
              <w:right w:val="nil"/>
            </w:tcBorders>
            <w:shd w:val="clear" w:color="auto" w:fill="auto"/>
            <w:noWrap/>
            <w:vAlign w:val="bottom"/>
            <w:hideMark/>
          </w:tcPr>
          <w:p w14:paraId="070AC88F" w14:textId="77777777" w:rsidR="00A14A03" w:rsidRPr="00400D06" w:rsidRDefault="00A14A03" w:rsidP="00AE2262">
            <w:pPr>
              <w:jc w:val="center"/>
              <w:rPr>
                <w:rFonts w:ascii="Times New Roman" w:eastAsia="Times New Roman" w:hAnsi="Times New Roman" w:cs="Times New Roman"/>
                <w:color w:val="000000"/>
              </w:rPr>
            </w:pPr>
            <w:r w:rsidRPr="007A5E01">
              <w:rPr>
                <w:rFonts w:ascii="Times New Roman" w:eastAsia="Times New Roman" w:hAnsi="Times New Roman" w:cs="Times New Roman"/>
                <w:color w:val="000000"/>
              </w:rPr>
              <w:t>0.00***</w:t>
            </w:r>
          </w:p>
        </w:tc>
        <w:tc>
          <w:tcPr>
            <w:tcW w:w="1300" w:type="dxa"/>
            <w:tcBorders>
              <w:top w:val="nil"/>
              <w:left w:val="nil"/>
              <w:bottom w:val="nil"/>
              <w:right w:val="nil"/>
            </w:tcBorders>
            <w:shd w:val="clear" w:color="auto" w:fill="auto"/>
            <w:noWrap/>
            <w:vAlign w:val="bottom"/>
            <w:hideMark/>
          </w:tcPr>
          <w:p w14:paraId="43BCDD5B" w14:textId="77777777" w:rsidR="00A14A03" w:rsidRPr="00400D06" w:rsidRDefault="00A14A03" w:rsidP="00AE2262">
            <w:pPr>
              <w:jc w:val="center"/>
              <w:rPr>
                <w:rFonts w:ascii="Times New Roman" w:eastAsia="Times New Roman" w:hAnsi="Times New Roman" w:cs="Times New Roman"/>
                <w:color w:val="000000"/>
              </w:rPr>
            </w:pPr>
          </w:p>
        </w:tc>
        <w:tc>
          <w:tcPr>
            <w:tcW w:w="1300" w:type="dxa"/>
            <w:tcBorders>
              <w:top w:val="nil"/>
              <w:left w:val="nil"/>
              <w:bottom w:val="nil"/>
              <w:right w:val="nil"/>
            </w:tcBorders>
            <w:shd w:val="clear" w:color="auto" w:fill="auto"/>
            <w:noWrap/>
            <w:vAlign w:val="bottom"/>
            <w:hideMark/>
          </w:tcPr>
          <w:p w14:paraId="3F84C9DF" w14:textId="77777777" w:rsidR="00A14A03" w:rsidRPr="002C127D" w:rsidRDefault="00A14A03" w:rsidP="00AE2262">
            <w:pPr>
              <w:jc w:val="center"/>
              <w:rPr>
                <w:rFonts w:ascii="Times New Roman" w:eastAsia="Times New Roman" w:hAnsi="Times New Roman" w:cs="Times New Roman"/>
                <w:color w:val="000000"/>
              </w:rPr>
            </w:pPr>
            <w:r w:rsidRPr="002C127D">
              <w:rPr>
                <w:rFonts w:ascii="Times New Roman" w:eastAsia="Times New Roman" w:hAnsi="Times New Roman" w:cs="Times New Roman"/>
                <w:color w:val="000000"/>
              </w:rPr>
              <w:t>0.00***</w:t>
            </w:r>
          </w:p>
        </w:tc>
        <w:tc>
          <w:tcPr>
            <w:tcW w:w="1300" w:type="dxa"/>
            <w:tcBorders>
              <w:top w:val="nil"/>
              <w:left w:val="nil"/>
              <w:bottom w:val="nil"/>
              <w:right w:val="nil"/>
            </w:tcBorders>
            <w:shd w:val="clear" w:color="auto" w:fill="auto"/>
            <w:noWrap/>
            <w:vAlign w:val="bottom"/>
            <w:hideMark/>
          </w:tcPr>
          <w:p w14:paraId="6441335F" w14:textId="77777777" w:rsidR="00A14A03" w:rsidRPr="000E33A5" w:rsidRDefault="00A14A03" w:rsidP="00AE2262">
            <w:pPr>
              <w:jc w:val="center"/>
              <w:rPr>
                <w:rFonts w:ascii="Times New Roman" w:eastAsia="Times New Roman" w:hAnsi="Times New Roman" w:cs="Times New Roman"/>
                <w:color w:val="000000"/>
              </w:rPr>
            </w:pPr>
          </w:p>
        </w:tc>
        <w:tc>
          <w:tcPr>
            <w:tcW w:w="1300" w:type="dxa"/>
            <w:tcBorders>
              <w:top w:val="nil"/>
              <w:left w:val="nil"/>
              <w:bottom w:val="nil"/>
              <w:right w:val="nil"/>
            </w:tcBorders>
            <w:shd w:val="clear" w:color="auto" w:fill="auto"/>
            <w:noWrap/>
            <w:vAlign w:val="bottom"/>
            <w:hideMark/>
          </w:tcPr>
          <w:p w14:paraId="345CA8AA" w14:textId="77777777" w:rsidR="00A14A03" w:rsidRPr="00E339E4" w:rsidRDefault="00A14A03" w:rsidP="00AE2262">
            <w:pPr>
              <w:jc w:val="center"/>
              <w:rPr>
                <w:rFonts w:ascii="Times New Roman" w:eastAsia="Times New Roman" w:hAnsi="Times New Roman" w:cs="Times New Roman"/>
                <w:color w:val="000000"/>
              </w:rPr>
            </w:pPr>
          </w:p>
        </w:tc>
      </w:tr>
      <w:tr w:rsidR="00A14A03" w:rsidRPr="007A5E01" w14:paraId="33C83569" w14:textId="77777777" w:rsidTr="00AE2262">
        <w:trPr>
          <w:trHeight w:val="300"/>
        </w:trPr>
        <w:tc>
          <w:tcPr>
            <w:tcW w:w="2100" w:type="dxa"/>
            <w:tcBorders>
              <w:top w:val="nil"/>
              <w:left w:val="nil"/>
              <w:bottom w:val="nil"/>
              <w:right w:val="nil"/>
            </w:tcBorders>
            <w:shd w:val="clear" w:color="auto" w:fill="auto"/>
            <w:noWrap/>
            <w:vAlign w:val="bottom"/>
            <w:hideMark/>
          </w:tcPr>
          <w:p w14:paraId="06660008" w14:textId="77777777" w:rsidR="00A14A03" w:rsidRPr="007A5E01" w:rsidRDefault="00A14A03" w:rsidP="00AE2262">
            <w:pPr>
              <w:rPr>
                <w:rFonts w:ascii="Times New Roman" w:eastAsia="Times New Roman" w:hAnsi="Times New Roman" w:cs="Times New Roman"/>
                <w:color w:val="000000"/>
              </w:rPr>
            </w:pPr>
            <w:r w:rsidRPr="007A5E01">
              <w:rPr>
                <w:rFonts w:ascii="Times New Roman" w:eastAsia="Times New Roman" w:hAnsi="Times New Roman" w:cs="Times New Roman"/>
                <w:color w:val="000000"/>
              </w:rPr>
              <w:t>Return on Equity</w:t>
            </w:r>
          </w:p>
        </w:tc>
        <w:tc>
          <w:tcPr>
            <w:tcW w:w="1300" w:type="dxa"/>
            <w:tcBorders>
              <w:top w:val="nil"/>
              <w:left w:val="nil"/>
              <w:bottom w:val="nil"/>
              <w:right w:val="nil"/>
            </w:tcBorders>
            <w:shd w:val="clear" w:color="auto" w:fill="auto"/>
            <w:noWrap/>
            <w:vAlign w:val="bottom"/>
            <w:hideMark/>
          </w:tcPr>
          <w:p w14:paraId="121BECFB" w14:textId="77777777" w:rsidR="00A14A03" w:rsidRPr="007A5E01" w:rsidRDefault="00A14A03" w:rsidP="00AE2262">
            <w:pPr>
              <w:jc w:val="center"/>
              <w:rPr>
                <w:rFonts w:ascii="Times New Roman" w:eastAsia="Times New Roman" w:hAnsi="Times New Roman" w:cs="Times New Roman"/>
                <w:color w:val="000000"/>
              </w:rPr>
            </w:pPr>
            <w:r w:rsidRPr="007A5E01">
              <w:rPr>
                <w:rFonts w:ascii="Times New Roman" w:eastAsia="Times New Roman" w:hAnsi="Times New Roman" w:cs="Times New Roman"/>
                <w:color w:val="000000"/>
              </w:rPr>
              <w:t>No</w:t>
            </w:r>
          </w:p>
        </w:tc>
        <w:tc>
          <w:tcPr>
            <w:tcW w:w="1300" w:type="dxa"/>
            <w:tcBorders>
              <w:top w:val="nil"/>
              <w:left w:val="nil"/>
              <w:bottom w:val="nil"/>
              <w:right w:val="nil"/>
            </w:tcBorders>
            <w:shd w:val="clear" w:color="auto" w:fill="auto"/>
            <w:noWrap/>
            <w:vAlign w:val="bottom"/>
            <w:hideMark/>
          </w:tcPr>
          <w:p w14:paraId="545F03E4" w14:textId="77777777" w:rsidR="00A14A03" w:rsidRPr="00400D06" w:rsidRDefault="00A14A03" w:rsidP="00AE2262">
            <w:pPr>
              <w:jc w:val="center"/>
              <w:rPr>
                <w:rFonts w:ascii="Times New Roman" w:eastAsia="Times New Roman" w:hAnsi="Times New Roman" w:cs="Times New Roman"/>
                <w:color w:val="000000"/>
              </w:rPr>
            </w:pPr>
            <w:r w:rsidRPr="007A5E01">
              <w:rPr>
                <w:rFonts w:ascii="Times New Roman" w:eastAsia="Times New Roman" w:hAnsi="Times New Roman" w:cs="Times New Roman"/>
                <w:color w:val="000000"/>
              </w:rPr>
              <w:t>-4.0</w:t>
            </w:r>
            <w:r w:rsidRPr="00400D06">
              <w:rPr>
                <w:rFonts w:ascii="Times New Roman" w:eastAsia="Times New Roman" w:hAnsi="Times New Roman" w:cs="Times New Roman"/>
                <w:color w:val="000000"/>
              </w:rPr>
              <w:t>5</w:t>
            </w:r>
          </w:p>
        </w:tc>
        <w:tc>
          <w:tcPr>
            <w:tcW w:w="1300" w:type="dxa"/>
            <w:tcBorders>
              <w:top w:val="nil"/>
              <w:left w:val="nil"/>
              <w:bottom w:val="nil"/>
              <w:right w:val="nil"/>
            </w:tcBorders>
            <w:shd w:val="clear" w:color="auto" w:fill="auto"/>
            <w:noWrap/>
            <w:vAlign w:val="bottom"/>
            <w:hideMark/>
          </w:tcPr>
          <w:p w14:paraId="5C253032" w14:textId="77777777" w:rsidR="00A14A03" w:rsidRPr="00400D06" w:rsidRDefault="00A14A03" w:rsidP="00AE2262">
            <w:pPr>
              <w:jc w:val="center"/>
              <w:rPr>
                <w:rFonts w:ascii="Times New Roman" w:eastAsia="Times New Roman" w:hAnsi="Times New Roman" w:cs="Times New Roman"/>
                <w:color w:val="000000"/>
              </w:rPr>
            </w:pPr>
            <w:r w:rsidRPr="00400D06">
              <w:rPr>
                <w:rFonts w:ascii="Times New Roman" w:eastAsia="Times New Roman" w:hAnsi="Times New Roman" w:cs="Times New Roman"/>
                <w:color w:val="000000"/>
              </w:rPr>
              <w:t>-1.78</w:t>
            </w:r>
          </w:p>
        </w:tc>
        <w:tc>
          <w:tcPr>
            <w:tcW w:w="1300" w:type="dxa"/>
            <w:tcBorders>
              <w:top w:val="nil"/>
              <w:left w:val="nil"/>
              <w:bottom w:val="nil"/>
              <w:right w:val="nil"/>
            </w:tcBorders>
            <w:shd w:val="clear" w:color="auto" w:fill="auto"/>
            <w:noWrap/>
            <w:vAlign w:val="bottom"/>
            <w:hideMark/>
          </w:tcPr>
          <w:p w14:paraId="19B6DD5C" w14:textId="77777777" w:rsidR="00A14A03" w:rsidRPr="002C127D" w:rsidRDefault="00A14A03" w:rsidP="00AE2262">
            <w:pPr>
              <w:jc w:val="center"/>
              <w:rPr>
                <w:rFonts w:ascii="Times New Roman" w:eastAsia="Times New Roman" w:hAnsi="Times New Roman" w:cs="Times New Roman"/>
                <w:color w:val="000000"/>
              </w:rPr>
            </w:pPr>
            <w:r w:rsidRPr="002C127D">
              <w:rPr>
                <w:rFonts w:ascii="Times New Roman" w:eastAsia="Times New Roman" w:hAnsi="Times New Roman" w:cs="Times New Roman"/>
                <w:color w:val="000000"/>
              </w:rPr>
              <w:t>9.86</w:t>
            </w:r>
          </w:p>
        </w:tc>
        <w:tc>
          <w:tcPr>
            <w:tcW w:w="1300" w:type="dxa"/>
            <w:tcBorders>
              <w:top w:val="nil"/>
              <w:left w:val="nil"/>
              <w:bottom w:val="nil"/>
              <w:right w:val="nil"/>
            </w:tcBorders>
            <w:shd w:val="clear" w:color="auto" w:fill="auto"/>
            <w:noWrap/>
            <w:vAlign w:val="bottom"/>
            <w:hideMark/>
          </w:tcPr>
          <w:p w14:paraId="1756DB2E" w14:textId="77777777" w:rsidR="00A14A03" w:rsidRPr="00E339E4" w:rsidRDefault="00A14A03" w:rsidP="00AE2262">
            <w:pPr>
              <w:jc w:val="center"/>
              <w:rPr>
                <w:rFonts w:ascii="Times New Roman" w:eastAsia="Times New Roman" w:hAnsi="Times New Roman" w:cs="Times New Roman"/>
                <w:color w:val="000000"/>
              </w:rPr>
            </w:pPr>
            <w:r w:rsidRPr="000E33A5">
              <w:rPr>
                <w:rFonts w:ascii="Times New Roman" w:eastAsia="Times New Roman" w:hAnsi="Times New Roman" w:cs="Times New Roman"/>
                <w:color w:val="000000"/>
              </w:rPr>
              <w:t>21.2</w:t>
            </w:r>
            <w:r w:rsidRPr="00E339E4">
              <w:rPr>
                <w:rFonts w:ascii="Times New Roman" w:eastAsia="Times New Roman" w:hAnsi="Times New Roman" w:cs="Times New Roman"/>
                <w:color w:val="000000"/>
              </w:rPr>
              <w:t>6</w:t>
            </w:r>
          </w:p>
        </w:tc>
        <w:tc>
          <w:tcPr>
            <w:tcW w:w="1300" w:type="dxa"/>
            <w:tcBorders>
              <w:top w:val="nil"/>
              <w:left w:val="nil"/>
              <w:bottom w:val="nil"/>
              <w:right w:val="nil"/>
            </w:tcBorders>
            <w:shd w:val="clear" w:color="auto" w:fill="auto"/>
            <w:noWrap/>
            <w:vAlign w:val="bottom"/>
            <w:hideMark/>
          </w:tcPr>
          <w:p w14:paraId="7A23357F" w14:textId="77777777" w:rsidR="00A14A03" w:rsidRPr="000E5813" w:rsidRDefault="00A14A03" w:rsidP="00AE2262">
            <w:pPr>
              <w:jc w:val="center"/>
              <w:rPr>
                <w:rFonts w:ascii="Times New Roman" w:eastAsia="Times New Roman" w:hAnsi="Times New Roman" w:cs="Times New Roman"/>
                <w:color w:val="000000"/>
              </w:rPr>
            </w:pPr>
            <w:r w:rsidRPr="000E5813">
              <w:rPr>
                <w:rFonts w:ascii="Times New Roman" w:eastAsia="Times New Roman" w:hAnsi="Times New Roman" w:cs="Times New Roman"/>
                <w:color w:val="000000"/>
              </w:rPr>
              <w:t>284</w:t>
            </w:r>
          </w:p>
        </w:tc>
      </w:tr>
      <w:tr w:rsidR="00A14A03" w:rsidRPr="007A5E01" w14:paraId="7FAA32D6" w14:textId="77777777" w:rsidTr="00AE2262">
        <w:trPr>
          <w:trHeight w:val="300"/>
        </w:trPr>
        <w:tc>
          <w:tcPr>
            <w:tcW w:w="2100" w:type="dxa"/>
            <w:tcBorders>
              <w:top w:val="nil"/>
              <w:left w:val="nil"/>
              <w:bottom w:val="nil"/>
              <w:right w:val="nil"/>
            </w:tcBorders>
            <w:shd w:val="clear" w:color="auto" w:fill="auto"/>
            <w:noWrap/>
            <w:vAlign w:val="bottom"/>
            <w:hideMark/>
          </w:tcPr>
          <w:p w14:paraId="22B5C2C1" w14:textId="77777777" w:rsidR="00A14A03" w:rsidRPr="007A5E01" w:rsidRDefault="00A14A03" w:rsidP="00AE2262">
            <w:pPr>
              <w:rPr>
                <w:rFonts w:ascii="Times New Roman" w:eastAsia="Times New Roman" w:hAnsi="Times New Roman" w:cs="Times New Roman"/>
                <w:color w:val="000000"/>
              </w:rPr>
            </w:pPr>
          </w:p>
        </w:tc>
        <w:tc>
          <w:tcPr>
            <w:tcW w:w="1300" w:type="dxa"/>
            <w:tcBorders>
              <w:top w:val="nil"/>
              <w:left w:val="nil"/>
              <w:bottom w:val="nil"/>
              <w:right w:val="nil"/>
            </w:tcBorders>
            <w:shd w:val="clear" w:color="auto" w:fill="auto"/>
            <w:noWrap/>
            <w:vAlign w:val="bottom"/>
            <w:hideMark/>
          </w:tcPr>
          <w:p w14:paraId="31FD3623" w14:textId="77777777" w:rsidR="00A14A03" w:rsidRPr="007A5E01" w:rsidRDefault="00A14A03" w:rsidP="00AE2262">
            <w:pPr>
              <w:jc w:val="center"/>
              <w:rPr>
                <w:rFonts w:ascii="Times New Roman" w:eastAsia="Times New Roman" w:hAnsi="Times New Roman" w:cs="Times New Roman"/>
                <w:color w:val="000000"/>
              </w:rPr>
            </w:pPr>
            <w:r w:rsidRPr="007A5E01">
              <w:rPr>
                <w:rFonts w:ascii="Times New Roman" w:eastAsia="Times New Roman" w:hAnsi="Times New Roman" w:cs="Times New Roman"/>
                <w:color w:val="000000"/>
              </w:rPr>
              <w:t>Yes</w:t>
            </w:r>
          </w:p>
        </w:tc>
        <w:tc>
          <w:tcPr>
            <w:tcW w:w="1300" w:type="dxa"/>
            <w:tcBorders>
              <w:top w:val="nil"/>
              <w:left w:val="nil"/>
              <w:bottom w:val="nil"/>
              <w:right w:val="nil"/>
            </w:tcBorders>
            <w:shd w:val="clear" w:color="auto" w:fill="auto"/>
            <w:noWrap/>
            <w:vAlign w:val="bottom"/>
            <w:hideMark/>
          </w:tcPr>
          <w:p w14:paraId="5A12B641" w14:textId="77777777" w:rsidR="00A14A03" w:rsidRPr="00400D06" w:rsidRDefault="00A14A03" w:rsidP="00AE2262">
            <w:pPr>
              <w:jc w:val="center"/>
              <w:rPr>
                <w:rFonts w:ascii="Times New Roman" w:eastAsia="Times New Roman" w:hAnsi="Times New Roman" w:cs="Times New Roman"/>
                <w:color w:val="000000"/>
              </w:rPr>
            </w:pPr>
            <w:r w:rsidRPr="007A5E01">
              <w:rPr>
                <w:rFonts w:ascii="Times New Roman" w:eastAsia="Times New Roman" w:hAnsi="Times New Roman" w:cs="Times New Roman"/>
                <w:color w:val="000000"/>
              </w:rPr>
              <w:t>1.43</w:t>
            </w:r>
          </w:p>
        </w:tc>
        <w:tc>
          <w:tcPr>
            <w:tcW w:w="1300" w:type="dxa"/>
            <w:tcBorders>
              <w:top w:val="nil"/>
              <w:left w:val="nil"/>
              <w:bottom w:val="nil"/>
              <w:right w:val="nil"/>
            </w:tcBorders>
            <w:shd w:val="clear" w:color="auto" w:fill="auto"/>
            <w:noWrap/>
            <w:vAlign w:val="bottom"/>
            <w:hideMark/>
          </w:tcPr>
          <w:p w14:paraId="1AE6B7C7" w14:textId="77777777" w:rsidR="00A14A03" w:rsidRPr="002C127D" w:rsidRDefault="00A14A03" w:rsidP="00AE2262">
            <w:pPr>
              <w:jc w:val="center"/>
              <w:rPr>
                <w:rFonts w:ascii="Times New Roman" w:eastAsia="Times New Roman" w:hAnsi="Times New Roman" w:cs="Times New Roman"/>
                <w:color w:val="000000"/>
              </w:rPr>
            </w:pPr>
            <w:r w:rsidRPr="00400D06">
              <w:rPr>
                <w:rFonts w:ascii="Times New Roman" w:eastAsia="Times New Roman" w:hAnsi="Times New Roman" w:cs="Times New Roman"/>
                <w:color w:val="000000"/>
              </w:rPr>
              <w:t>-16.3</w:t>
            </w:r>
            <w:r w:rsidRPr="002C127D">
              <w:rPr>
                <w:rFonts w:ascii="Times New Roman" w:eastAsia="Times New Roman" w:hAnsi="Times New Roman" w:cs="Times New Roman"/>
                <w:color w:val="000000"/>
              </w:rPr>
              <w:t>6</w:t>
            </w:r>
          </w:p>
        </w:tc>
        <w:tc>
          <w:tcPr>
            <w:tcW w:w="1300" w:type="dxa"/>
            <w:tcBorders>
              <w:top w:val="nil"/>
              <w:left w:val="nil"/>
              <w:bottom w:val="nil"/>
              <w:right w:val="nil"/>
            </w:tcBorders>
            <w:shd w:val="clear" w:color="auto" w:fill="auto"/>
            <w:noWrap/>
            <w:vAlign w:val="bottom"/>
            <w:hideMark/>
          </w:tcPr>
          <w:p w14:paraId="202510CE" w14:textId="77777777" w:rsidR="00A14A03" w:rsidRPr="000E33A5" w:rsidRDefault="00A14A03" w:rsidP="00AE2262">
            <w:pPr>
              <w:jc w:val="center"/>
              <w:rPr>
                <w:rFonts w:ascii="Times New Roman" w:eastAsia="Times New Roman" w:hAnsi="Times New Roman" w:cs="Times New Roman"/>
                <w:color w:val="000000"/>
              </w:rPr>
            </w:pPr>
            <w:r w:rsidRPr="000E33A5">
              <w:rPr>
                <w:rFonts w:ascii="Times New Roman" w:eastAsia="Times New Roman" w:hAnsi="Times New Roman" w:cs="Times New Roman"/>
                <w:color w:val="000000"/>
              </w:rPr>
              <w:t>5.90</w:t>
            </w:r>
          </w:p>
        </w:tc>
        <w:tc>
          <w:tcPr>
            <w:tcW w:w="1300" w:type="dxa"/>
            <w:tcBorders>
              <w:top w:val="nil"/>
              <w:left w:val="nil"/>
              <w:bottom w:val="nil"/>
              <w:right w:val="nil"/>
            </w:tcBorders>
            <w:shd w:val="clear" w:color="auto" w:fill="auto"/>
            <w:noWrap/>
            <w:vAlign w:val="bottom"/>
            <w:hideMark/>
          </w:tcPr>
          <w:p w14:paraId="49027B90" w14:textId="77777777" w:rsidR="00A14A03" w:rsidRPr="000E5813" w:rsidRDefault="00A14A03" w:rsidP="00AE2262">
            <w:pPr>
              <w:jc w:val="center"/>
              <w:rPr>
                <w:rFonts w:ascii="Times New Roman" w:eastAsia="Times New Roman" w:hAnsi="Times New Roman" w:cs="Times New Roman"/>
                <w:color w:val="000000"/>
              </w:rPr>
            </w:pPr>
            <w:r w:rsidRPr="00E339E4">
              <w:rPr>
                <w:rFonts w:ascii="Times New Roman" w:eastAsia="Times New Roman" w:hAnsi="Times New Roman" w:cs="Times New Roman"/>
                <w:color w:val="000000"/>
              </w:rPr>
              <w:t>13.99</w:t>
            </w:r>
          </w:p>
        </w:tc>
        <w:tc>
          <w:tcPr>
            <w:tcW w:w="1300" w:type="dxa"/>
            <w:tcBorders>
              <w:top w:val="nil"/>
              <w:left w:val="nil"/>
              <w:bottom w:val="nil"/>
              <w:right w:val="nil"/>
            </w:tcBorders>
            <w:shd w:val="clear" w:color="auto" w:fill="auto"/>
            <w:noWrap/>
            <w:vAlign w:val="bottom"/>
            <w:hideMark/>
          </w:tcPr>
          <w:p w14:paraId="7F4B1D26" w14:textId="77777777" w:rsidR="00A14A03" w:rsidRPr="00B935AF" w:rsidRDefault="00A14A03" w:rsidP="00AE2262">
            <w:pPr>
              <w:jc w:val="center"/>
              <w:rPr>
                <w:rFonts w:ascii="Times New Roman" w:eastAsia="Times New Roman" w:hAnsi="Times New Roman" w:cs="Times New Roman"/>
                <w:color w:val="000000"/>
              </w:rPr>
            </w:pPr>
            <w:r w:rsidRPr="00B935AF">
              <w:rPr>
                <w:rFonts w:ascii="Times New Roman" w:eastAsia="Times New Roman" w:hAnsi="Times New Roman" w:cs="Times New Roman"/>
                <w:color w:val="000000"/>
              </w:rPr>
              <w:t>384</w:t>
            </w:r>
          </w:p>
        </w:tc>
      </w:tr>
      <w:tr w:rsidR="00A14A03" w:rsidRPr="007A5E01" w14:paraId="7DE8ADB4" w14:textId="77777777" w:rsidTr="00AE2262">
        <w:trPr>
          <w:trHeight w:val="300"/>
        </w:trPr>
        <w:tc>
          <w:tcPr>
            <w:tcW w:w="2100" w:type="dxa"/>
            <w:tcBorders>
              <w:top w:val="nil"/>
              <w:left w:val="nil"/>
              <w:bottom w:val="nil"/>
              <w:right w:val="nil"/>
            </w:tcBorders>
            <w:shd w:val="clear" w:color="auto" w:fill="auto"/>
            <w:noWrap/>
            <w:vAlign w:val="bottom"/>
            <w:hideMark/>
          </w:tcPr>
          <w:p w14:paraId="3F6D3BA5" w14:textId="77777777" w:rsidR="00A14A03" w:rsidRPr="007A5E01" w:rsidRDefault="00A14A03" w:rsidP="00AE2262">
            <w:pPr>
              <w:rPr>
                <w:rFonts w:ascii="Times New Roman" w:eastAsia="Times New Roman" w:hAnsi="Times New Roman" w:cs="Times New Roman"/>
                <w:color w:val="000000"/>
              </w:rPr>
            </w:pPr>
          </w:p>
        </w:tc>
        <w:tc>
          <w:tcPr>
            <w:tcW w:w="1300" w:type="dxa"/>
            <w:tcBorders>
              <w:top w:val="nil"/>
              <w:left w:val="nil"/>
              <w:bottom w:val="nil"/>
              <w:right w:val="nil"/>
            </w:tcBorders>
            <w:shd w:val="clear" w:color="auto" w:fill="auto"/>
            <w:noWrap/>
            <w:vAlign w:val="bottom"/>
            <w:hideMark/>
          </w:tcPr>
          <w:p w14:paraId="5C96052D" w14:textId="77777777" w:rsidR="00A14A03" w:rsidRPr="007A5E01" w:rsidRDefault="00A14A03" w:rsidP="00AE2262">
            <w:pPr>
              <w:jc w:val="center"/>
              <w:rPr>
                <w:rFonts w:ascii="Times New Roman" w:eastAsia="Times New Roman" w:hAnsi="Times New Roman" w:cs="Times New Roman"/>
                <w:color w:val="000000"/>
              </w:rPr>
            </w:pPr>
            <w:r w:rsidRPr="007A5E01">
              <w:rPr>
                <w:rFonts w:ascii="Times New Roman" w:eastAsia="Times New Roman" w:hAnsi="Times New Roman" w:cs="Times New Roman"/>
                <w:color w:val="000000"/>
              </w:rPr>
              <w:t>p value</w:t>
            </w:r>
          </w:p>
        </w:tc>
        <w:tc>
          <w:tcPr>
            <w:tcW w:w="1300" w:type="dxa"/>
            <w:tcBorders>
              <w:top w:val="nil"/>
              <w:left w:val="nil"/>
              <w:bottom w:val="nil"/>
              <w:right w:val="nil"/>
            </w:tcBorders>
            <w:shd w:val="clear" w:color="auto" w:fill="auto"/>
            <w:noWrap/>
            <w:vAlign w:val="bottom"/>
            <w:hideMark/>
          </w:tcPr>
          <w:p w14:paraId="02518032" w14:textId="77777777" w:rsidR="00A14A03" w:rsidRPr="00400D06" w:rsidRDefault="00A14A03" w:rsidP="00AE2262">
            <w:pPr>
              <w:jc w:val="center"/>
              <w:rPr>
                <w:rFonts w:ascii="Times New Roman" w:eastAsia="Times New Roman" w:hAnsi="Times New Roman" w:cs="Times New Roman"/>
                <w:color w:val="000000"/>
              </w:rPr>
            </w:pPr>
            <w:r w:rsidRPr="007A5E01">
              <w:rPr>
                <w:rFonts w:ascii="Times New Roman" w:eastAsia="Times New Roman" w:hAnsi="Times New Roman" w:cs="Times New Roman"/>
                <w:color w:val="000000"/>
              </w:rPr>
              <w:t>0.71</w:t>
            </w:r>
          </w:p>
        </w:tc>
        <w:tc>
          <w:tcPr>
            <w:tcW w:w="1300" w:type="dxa"/>
            <w:tcBorders>
              <w:top w:val="nil"/>
              <w:left w:val="nil"/>
              <w:bottom w:val="nil"/>
              <w:right w:val="nil"/>
            </w:tcBorders>
            <w:shd w:val="clear" w:color="auto" w:fill="auto"/>
            <w:noWrap/>
            <w:vAlign w:val="bottom"/>
            <w:hideMark/>
          </w:tcPr>
          <w:p w14:paraId="0BAFA069" w14:textId="77777777" w:rsidR="00A14A03" w:rsidRPr="00400D06" w:rsidRDefault="00A14A03" w:rsidP="00AE2262">
            <w:pPr>
              <w:jc w:val="center"/>
              <w:rPr>
                <w:rFonts w:ascii="Times New Roman" w:eastAsia="Times New Roman" w:hAnsi="Times New Roman" w:cs="Times New Roman"/>
                <w:color w:val="000000"/>
              </w:rPr>
            </w:pPr>
          </w:p>
        </w:tc>
        <w:tc>
          <w:tcPr>
            <w:tcW w:w="1300" w:type="dxa"/>
            <w:tcBorders>
              <w:top w:val="nil"/>
              <w:left w:val="nil"/>
              <w:bottom w:val="nil"/>
              <w:right w:val="nil"/>
            </w:tcBorders>
            <w:shd w:val="clear" w:color="auto" w:fill="auto"/>
            <w:noWrap/>
            <w:vAlign w:val="bottom"/>
            <w:hideMark/>
          </w:tcPr>
          <w:p w14:paraId="6BA98FFF" w14:textId="77777777" w:rsidR="00A14A03" w:rsidRPr="002C127D" w:rsidRDefault="00A14A03" w:rsidP="00AE2262">
            <w:pPr>
              <w:jc w:val="center"/>
              <w:rPr>
                <w:rFonts w:ascii="Times New Roman" w:eastAsia="Times New Roman" w:hAnsi="Times New Roman" w:cs="Times New Roman"/>
                <w:color w:val="000000"/>
              </w:rPr>
            </w:pPr>
            <w:r w:rsidRPr="002C127D">
              <w:rPr>
                <w:rFonts w:ascii="Times New Roman" w:eastAsia="Times New Roman" w:hAnsi="Times New Roman" w:cs="Times New Roman"/>
                <w:color w:val="000000"/>
              </w:rPr>
              <w:t>0.00***</w:t>
            </w:r>
          </w:p>
        </w:tc>
        <w:tc>
          <w:tcPr>
            <w:tcW w:w="1300" w:type="dxa"/>
            <w:tcBorders>
              <w:top w:val="nil"/>
              <w:left w:val="nil"/>
              <w:bottom w:val="nil"/>
              <w:right w:val="nil"/>
            </w:tcBorders>
            <w:shd w:val="clear" w:color="auto" w:fill="auto"/>
            <w:noWrap/>
            <w:vAlign w:val="bottom"/>
            <w:hideMark/>
          </w:tcPr>
          <w:p w14:paraId="63060EC7" w14:textId="77777777" w:rsidR="00A14A03" w:rsidRPr="000E33A5" w:rsidRDefault="00A14A03" w:rsidP="00AE2262">
            <w:pPr>
              <w:jc w:val="center"/>
              <w:rPr>
                <w:rFonts w:ascii="Times New Roman" w:eastAsia="Times New Roman" w:hAnsi="Times New Roman" w:cs="Times New Roman"/>
                <w:color w:val="000000"/>
              </w:rPr>
            </w:pPr>
          </w:p>
        </w:tc>
        <w:tc>
          <w:tcPr>
            <w:tcW w:w="1300" w:type="dxa"/>
            <w:tcBorders>
              <w:top w:val="nil"/>
              <w:left w:val="nil"/>
              <w:bottom w:val="nil"/>
              <w:right w:val="nil"/>
            </w:tcBorders>
            <w:shd w:val="clear" w:color="auto" w:fill="auto"/>
            <w:noWrap/>
            <w:vAlign w:val="bottom"/>
            <w:hideMark/>
          </w:tcPr>
          <w:p w14:paraId="7A71E199" w14:textId="77777777" w:rsidR="00A14A03" w:rsidRPr="00E339E4" w:rsidRDefault="00A14A03" w:rsidP="00AE2262">
            <w:pPr>
              <w:jc w:val="center"/>
              <w:rPr>
                <w:rFonts w:ascii="Times New Roman" w:eastAsia="Times New Roman" w:hAnsi="Times New Roman" w:cs="Times New Roman"/>
                <w:color w:val="000000"/>
              </w:rPr>
            </w:pPr>
          </w:p>
        </w:tc>
      </w:tr>
      <w:tr w:rsidR="00A14A03" w:rsidRPr="007A5E01" w14:paraId="6BB3EC6A" w14:textId="77777777" w:rsidTr="00AE2262">
        <w:trPr>
          <w:trHeight w:val="300"/>
        </w:trPr>
        <w:tc>
          <w:tcPr>
            <w:tcW w:w="2100" w:type="dxa"/>
            <w:tcBorders>
              <w:top w:val="nil"/>
              <w:left w:val="nil"/>
              <w:bottom w:val="nil"/>
              <w:right w:val="nil"/>
            </w:tcBorders>
            <w:shd w:val="clear" w:color="auto" w:fill="auto"/>
            <w:noWrap/>
            <w:vAlign w:val="bottom"/>
            <w:hideMark/>
          </w:tcPr>
          <w:p w14:paraId="625CCDCC" w14:textId="77777777" w:rsidR="00A14A03" w:rsidRPr="007A5E01" w:rsidRDefault="00A14A03" w:rsidP="00AE2262">
            <w:pPr>
              <w:rPr>
                <w:rFonts w:ascii="Times New Roman" w:eastAsia="Times New Roman" w:hAnsi="Times New Roman" w:cs="Times New Roman"/>
                <w:color w:val="000000"/>
              </w:rPr>
            </w:pPr>
            <w:r w:rsidRPr="007A5E01">
              <w:rPr>
                <w:rFonts w:ascii="Times New Roman" w:eastAsia="Times New Roman" w:hAnsi="Times New Roman" w:cs="Times New Roman"/>
                <w:color w:val="000000"/>
              </w:rPr>
              <w:t>PPE/Assets</w:t>
            </w:r>
          </w:p>
        </w:tc>
        <w:tc>
          <w:tcPr>
            <w:tcW w:w="1300" w:type="dxa"/>
            <w:tcBorders>
              <w:top w:val="nil"/>
              <w:left w:val="nil"/>
              <w:bottom w:val="nil"/>
              <w:right w:val="nil"/>
            </w:tcBorders>
            <w:shd w:val="clear" w:color="auto" w:fill="auto"/>
            <w:noWrap/>
            <w:vAlign w:val="bottom"/>
            <w:hideMark/>
          </w:tcPr>
          <w:p w14:paraId="1D4FEB3F" w14:textId="77777777" w:rsidR="00A14A03" w:rsidRPr="007A5E01" w:rsidRDefault="00A14A03" w:rsidP="00AE2262">
            <w:pPr>
              <w:jc w:val="center"/>
              <w:rPr>
                <w:rFonts w:ascii="Times New Roman" w:eastAsia="Times New Roman" w:hAnsi="Times New Roman" w:cs="Times New Roman"/>
                <w:color w:val="000000"/>
              </w:rPr>
            </w:pPr>
            <w:r w:rsidRPr="007A5E01">
              <w:rPr>
                <w:rFonts w:ascii="Times New Roman" w:eastAsia="Times New Roman" w:hAnsi="Times New Roman" w:cs="Times New Roman"/>
                <w:color w:val="000000"/>
              </w:rPr>
              <w:t>No</w:t>
            </w:r>
          </w:p>
        </w:tc>
        <w:tc>
          <w:tcPr>
            <w:tcW w:w="1300" w:type="dxa"/>
            <w:tcBorders>
              <w:top w:val="nil"/>
              <w:left w:val="nil"/>
              <w:bottom w:val="nil"/>
              <w:right w:val="nil"/>
            </w:tcBorders>
            <w:shd w:val="clear" w:color="auto" w:fill="auto"/>
            <w:noWrap/>
            <w:vAlign w:val="bottom"/>
            <w:hideMark/>
          </w:tcPr>
          <w:p w14:paraId="1E008517" w14:textId="77777777" w:rsidR="00A14A03" w:rsidRPr="00400D06" w:rsidRDefault="00A14A03" w:rsidP="00AE2262">
            <w:pPr>
              <w:jc w:val="center"/>
              <w:rPr>
                <w:rFonts w:ascii="Times New Roman" w:eastAsia="Times New Roman" w:hAnsi="Times New Roman" w:cs="Times New Roman"/>
                <w:color w:val="000000"/>
              </w:rPr>
            </w:pPr>
            <w:r w:rsidRPr="007A5E01">
              <w:rPr>
                <w:rFonts w:ascii="Times New Roman" w:eastAsia="Times New Roman" w:hAnsi="Times New Roman" w:cs="Times New Roman"/>
                <w:color w:val="000000"/>
              </w:rPr>
              <w:t>38.2</w:t>
            </w:r>
            <w:r w:rsidRPr="00400D06">
              <w:rPr>
                <w:rFonts w:ascii="Times New Roman" w:eastAsia="Times New Roman" w:hAnsi="Times New Roman" w:cs="Times New Roman"/>
                <w:color w:val="000000"/>
              </w:rPr>
              <w:t>9</w:t>
            </w:r>
          </w:p>
        </w:tc>
        <w:tc>
          <w:tcPr>
            <w:tcW w:w="1300" w:type="dxa"/>
            <w:tcBorders>
              <w:top w:val="nil"/>
              <w:left w:val="nil"/>
              <w:bottom w:val="nil"/>
              <w:right w:val="nil"/>
            </w:tcBorders>
            <w:shd w:val="clear" w:color="auto" w:fill="auto"/>
            <w:noWrap/>
            <w:vAlign w:val="bottom"/>
            <w:hideMark/>
          </w:tcPr>
          <w:p w14:paraId="14FE757C" w14:textId="77777777" w:rsidR="00A14A03" w:rsidRPr="002C127D" w:rsidRDefault="00A14A03" w:rsidP="00AE2262">
            <w:pPr>
              <w:jc w:val="center"/>
              <w:rPr>
                <w:rFonts w:ascii="Times New Roman" w:eastAsia="Times New Roman" w:hAnsi="Times New Roman" w:cs="Times New Roman"/>
                <w:color w:val="000000"/>
              </w:rPr>
            </w:pPr>
            <w:r w:rsidRPr="00400D06">
              <w:rPr>
                <w:rFonts w:ascii="Times New Roman" w:eastAsia="Times New Roman" w:hAnsi="Times New Roman" w:cs="Times New Roman"/>
                <w:color w:val="000000"/>
              </w:rPr>
              <w:t>16.7</w:t>
            </w:r>
            <w:r w:rsidRPr="002C127D">
              <w:rPr>
                <w:rFonts w:ascii="Times New Roman" w:eastAsia="Times New Roman" w:hAnsi="Times New Roman" w:cs="Times New Roman"/>
                <w:color w:val="000000"/>
              </w:rPr>
              <w:t>5</w:t>
            </w:r>
          </w:p>
        </w:tc>
        <w:tc>
          <w:tcPr>
            <w:tcW w:w="1300" w:type="dxa"/>
            <w:tcBorders>
              <w:top w:val="nil"/>
              <w:left w:val="nil"/>
              <w:bottom w:val="nil"/>
              <w:right w:val="nil"/>
            </w:tcBorders>
            <w:shd w:val="clear" w:color="auto" w:fill="auto"/>
            <w:noWrap/>
            <w:vAlign w:val="bottom"/>
            <w:hideMark/>
          </w:tcPr>
          <w:p w14:paraId="00EDDD62" w14:textId="77777777" w:rsidR="00A14A03" w:rsidRPr="00E339E4" w:rsidRDefault="00A14A03" w:rsidP="00AE2262">
            <w:pPr>
              <w:jc w:val="center"/>
              <w:rPr>
                <w:rFonts w:ascii="Times New Roman" w:eastAsia="Times New Roman" w:hAnsi="Times New Roman" w:cs="Times New Roman"/>
                <w:color w:val="000000"/>
              </w:rPr>
            </w:pPr>
            <w:r w:rsidRPr="000E33A5">
              <w:rPr>
                <w:rFonts w:ascii="Times New Roman" w:eastAsia="Times New Roman" w:hAnsi="Times New Roman" w:cs="Times New Roman"/>
                <w:color w:val="000000"/>
              </w:rPr>
              <w:t>31.2</w:t>
            </w:r>
            <w:r w:rsidRPr="00E339E4">
              <w:rPr>
                <w:rFonts w:ascii="Times New Roman" w:eastAsia="Times New Roman" w:hAnsi="Times New Roman" w:cs="Times New Roman"/>
                <w:color w:val="000000"/>
              </w:rPr>
              <w:t>9</w:t>
            </w:r>
          </w:p>
        </w:tc>
        <w:tc>
          <w:tcPr>
            <w:tcW w:w="1300" w:type="dxa"/>
            <w:tcBorders>
              <w:top w:val="nil"/>
              <w:left w:val="nil"/>
              <w:bottom w:val="nil"/>
              <w:right w:val="nil"/>
            </w:tcBorders>
            <w:shd w:val="clear" w:color="auto" w:fill="auto"/>
            <w:noWrap/>
            <w:vAlign w:val="bottom"/>
            <w:hideMark/>
          </w:tcPr>
          <w:p w14:paraId="4052A915" w14:textId="77777777" w:rsidR="00A14A03" w:rsidRPr="000E5813" w:rsidRDefault="00A14A03" w:rsidP="00AE2262">
            <w:pPr>
              <w:jc w:val="center"/>
              <w:rPr>
                <w:rFonts w:ascii="Times New Roman" w:eastAsia="Times New Roman" w:hAnsi="Times New Roman" w:cs="Times New Roman"/>
                <w:color w:val="000000"/>
              </w:rPr>
            </w:pPr>
            <w:r w:rsidRPr="000E5813">
              <w:rPr>
                <w:rFonts w:ascii="Times New Roman" w:eastAsia="Times New Roman" w:hAnsi="Times New Roman" w:cs="Times New Roman"/>
                <w:color w:val="000000"/>
              </w:rPr>
              <w:t>53.78</w:t>
            </w:r>
          </w:p>
        </w:tc>
        <w:tc>
          <w:tcPr>
            <w:tcW w:w="1300" w:type="dxa"/>
            <w:tcBorders>
              <w:top w:val="nil"/>
              <w:left w:val="nil"/>
              <w:bottom w:val="nil"/>
              <w:right w:val="nil"/>
            </w:tcBorders>
            <w:shd w:val="clear" w:color="auto" w:fill="auto"/>
            <w:noWrap/>
            <w:vAlign w:val="bottom"/>
            <w:hideMark/>
          </w:tcPr>
          <w:p w14:paraId="3E2D521D" w14:textId="77777777" w:rsidR="00A14A03" w:rsidRPr="00B935AF" w:rsidRDefault="00A14A03" w:rsidP="00AE2262">
            <w:pPr>
              <w:jc w:val="center"/>
              <w:rPr>
                <w:rFonts w:ascii="Times New Roman" w:eastAsia="Times New Roman" w:hAnsi="Times New Roman" w:cs="Times New Roman"/>
                <w:color w:val="000000"/>
              </w:rPr>
            </w:pPr>
            <w:r w:rsidRPr="00B935AF">
              <w:rPr>
                <w:rFonts w:ascii="Times New Roman" w:eastAsia="Times New Roman" w:hAnsi="Times New Roman" w:cs="Times New Roman"/>
                <w:color w:val="000000"/>
              </w:rPr>
              <w:t>284</w:t>
            </w:r>
          </w:p>
        </w:tc>
      </w:tr>
      <w:tr w:rsidR="00A14A03" w:rsidRPr="007A5E01" w14:paraId="62BD4CEC" w14:textId="77777777" w:rsidTr="00AE2262">
        <w:trPr>
          <w:trHeight w:val="300"/>
        </w:trPr>
        <w:tc>
          <w:tcPr>
            <w:tcW w:w="2100" w:type="dxa"/>
            <w:tcBorders>
              <w:top w:val="nil"/>
              <w:left w:val="nil"/>
              <w:bottom w:val="nil"/>
              <w:right w:val="nil"/>
            </w:tcBorders>
            <w:shd w:val="clear" w:color="auto" w:fill="auto"/>
            <w:noWrap/>
            <w:vAlign w:val="bottom"/>
            <w:hideMark/>
          </w:tcPr>
          <w:p w14:paraId="70817C17" w14:textId="77777777" w:rsidR="00A14A03" w:rsidRPr="007A5E01" w:rsidRDefault="00A14A03" w:rsidP="00AE2262">
            <w:pPr>
              <w:rPr>
                <w:rFonts w:ascii="Times New Roman" w:eastAsia="Times New Roman" w:hAnsi="Times New Roman" w:cs="Times New Roman"/>
                <w:color w:val="000000"/>
              </w:rPr>
            </w:pPr>
          </w:p>
        </w:tc>
        <w:tc>
          <w:tcPr>
            <w:tcW w:w="1300" w:type="dxa"/>
            <w:tcBorders>
              <w:top w:val="nil"/>
              <w:left w:val="nil"/>
              <w:bottom w:val="nil"/>
              <w:right w:val="nil"/>
            </w:tcBorders>
            <w:shd w:val="clear" w:color="auto" w:fill="auto"/>
            <w:noWrap/>
            <w:vAlign w:val="bottom"/>
            <w:hideMark/>
          </w:tcPr>
          <w:p w14:paraId="3282799D" w14:textId="77777777" w:rsidR="00A14A03" w:rsidRPr="007A5E01" w:rsidRDefault="00A14A03" w:rsidP="00AE2262">
            <w:pPr>
              <w:jc w:val="center"/>
              <w:rPr>
                <w:rFonts w:ascii="Times New Roman" w:eastAsia="Times New Roman" w:hAnsi="Times New Roman" w:cs="Times New Roman"/>
                <w:color w:val="000000"/>
              </w:rPr>
            </w:pPr>
            <w:r w:rsidRPr="007A5E01">
              <w:rPr>
                <w:rFonts w:ascii="Times New Roman" w:eastAsia="Times New Roman" w:hAnsi="Times New Roman" w:cs="Times New Roman"/>
                <w:color w:val="000000"/>
              </w:rPr>
              <w:t>Yes</w:t>
            </w:r>
          </w:p>
        </w:tc>
        <w:tc>
          <w:tcPr>
            <w:tcW w:w="1300" w:type="dxa"/>
            <w:tcBorders>
              <w:top w:val="nil"/>
              <w:left w:val="nil"/>
              <w:bottom w:val="nil"/>
              <w:right w:val="nil"/>
            </w:tcBorders>
            <w:shd w:val="clear" w:color="auto" w:fill="auto"/>
            <w:noWrap/>
            <w:vAlign w:val="bottom"/>
            <w:hideMark/>
          </w:tcPr>
          <w:p w14:paraId="52804E3B" w14:textId="77777777" w:rsidR="00A14A03" w:rsidRPr="00400D06" w:rsidRDefault="00A14A03" w:rsidP="00AE2262">
            <w:pPr>
              <w:jc w:val="center"/>
              <w:rPr>
                <w:rFonts w:ascii="Times New Roman" w:eastAsia="Times New Roman" w:hAnsi="Times New Roman" w:cs="Times New Roman"/>
                <w:color w:val="000000"/>
              </w:rPr>
            </w:pPr>
            <w:r w:rsidRPr="007A5E01">
              <w:rPr>
                <w:rFonts w:ascii="Times New Roman" w:eastAsia="Times New Roman" w:hAnsi="Times New Roman" w:cs="Times New Roman"/>
                <w:color w:val="000000"/>
              </w:rPr>
              <w:t>26.94</w:t>
            </w:r>
          </w:p>
        </w:tc>
        <w:tc>
          <w:tcPr>
            <w:tcW w:w="1300" w:type="dxa"/>
            <w:tcBorders>
              <w:top w:val="nil"/>
              <w:left w:val="nil"/>
              <w:bottom w:val="nil"/>
              <w:right w:val="nil"/>
            </w:tcBorders>
            <w:shd w:val="clear" w:color="auto" w:fill="auto"/>
            <w:noWrap/>
            <w:vAlign w:val="bottom"/>
            <w:hideMark/>
          </w:tcPr>
          <w:p w14:paraId="1F46113E" w14:textId="77777777" w:rsidR="00A14A03" w:rsidRPr="002C127D" w:rsidRDefault="00A14A03" w:rsidP="00AE2262">
            <w:pPr>
              <w:jc w:val="center"/>
              <w:rPr>
                <w:rFonts w:ascii="Times New Roman" w:eastAsia="Times New Roman" w:hAnsi="Times New Roman" w:cs="Times New Roman"/>
                <w:color w:val="000000"/>
              </w:rPr>
            </w:pPr>
            <w:r w:rsidRPr="00400D06">
              <w:rPr>
                <w:rFonts w:ascii="Times New Roman" w:eastAsia="Times New Roman" w:hAnsi="Times New Roman" w:cs="Times New Roman"/>
                <w:color w:val="000000"/>
              </w:rPr>
              <w:t>11.2</w:t>
            </w:r>
            <w:r w:rsidRPr="002C127D">
              <w:rPr>
                <w:rFonts w:ascii="Times New Roman" w:eastAsia="Times New Roman" w:hAnsi="Times New Roman" w:cs="Times New Roman"/>
                <w:color w:val="000000"/>
              </w:rPr>
              <w:t>1</w:t>
            </w:r>
          </w:p>
        </w:tc>
        <w:tc>
          <w:tcPr>
            <w:tcW w:w="1300" w:type="dxa"/>
            <w:tcBorders>
              <w:top w:val="nil"/>
              <w:left w:val="nil"/>
              <w:bottom w:val="nil"/>
              <w:right w:val="nil"/>
            </w:tcBorders>
            <w:shd w:val="clear" w:color="auto" w:fill="auto"/>
            <w:noWrap/>
            <w:vAlign w:val="bottom"/>
            <w:hideMark/>
          </w:tcPr>
          <w:p w14:paraId="5E1028E6" w14:textId="77777777" w:rsidR="00A14A03" w:rsidRPr="00E339E4" w:rsidRDefault="00A14A03" w:rsidP="00AE2262">
            <w:pPr>
              <w:jc w:val="center"/>
              <w:rPr>
                <w:rFonts w:ascii="Times New Roman" w:eastAsia="Times New Roman" w:hAnsi="Times New Roman" w:cs="Times New Roman"/>
                <w:color w:val="000000"/>
              </w:rPr>
            </w:pPr>
            <w:r w:rsidRPr="000E33A5">
              <w:rPr>
                <w:rFonts w:ascii="Times New Roman" w:eastAsia="Times New Roman" w:hAnsi="Times New Roman" w:cs="Times New Roman"/>
                <w:color w:val="000000"/>
              </w:rPr>
              <w:t>18.0</w:t>
            </w:r>
            <w:r w:rsidRPr="00E339E4">
              <w:rPr>
                <w:rFonts w:ascii="Times New Roman" w:eastAsia="Times New Roman" w:hAnsi="Times New Roman" w:cs="Times New Roman"/>
                <w:color w:val="000000"/>
              </w:rPr>
              <w:t>2</w:t>
            </w:r>
          </w:p>
        </w:tc>
        <w:tc>
          <w:tcPr>
            <w:tcW w:w="1300" w:type="dxa"/>
            <w:tcBorders>
              <w:top w:val="nil"/>
              <w:left w:val="nil"/>
              <w:bottom w:val="nil"/>
              <w:right w:val="nil"/>
            </w:tcBorders>
            <w:shd w:val="clear" w:color="auto" w:fill="auto"/>
            <w:noWrap/>
            <w:vAlign w:val="bottom"/>
            <w:hideMark/>
          </w:tcPr>
          <w:p w14:paraId="2CFDF44B" w14:textId="77777777" w:rsidR="00A14A03" w:rsidRPr="00670396" w:rsidRDefault="00A14A03" w:rsidP="00AE2262">
            <w:pPr>
              <w:jc w:val="center"/>
              <w:rPr>
                <w:rFonts w:ascii="Times New Roman" w:eastAsia="Times New Roman" w:hAnsi="Times New Roman" w:cs="Times New Roman"/>
                <w:color w:val="000000"/>
              </w:rPr>
            </w:pPr>
            <w:r w:rsidRPr="000E5813">
              <w:rPr>
                <w:rFonts w:ascii="Times New Roman" w:eastAsia="Times New Roman" w:hAnsi="Times New Roman" w:cs="Times New Roman"/>
                <w:color w:val="000000"/>
              </w:rPr>
              <w:t>33.1</w:t>
            </w:r>
            <w:r w:rsidRPr="00B935AF">
              <w:rPr>
                <w:rFonts w:ascii="Times New Roman" w:eastAsia="Times New Roman" w:hAnsi="Times New Roman" w:cs="Times New Roman"/>
                <w:color w:val="000000"/>
              </w:rPr>
              <w:t>2</w:t>
            </w:r>
          </w:p>
        </w:tc>
        <w:tc>
          <w:tcPr>
            <w:tcW w:w="1300" w:type="dxa"/>
            <w:tcBorders>
              <w:top w:val="nil"/>
              <w:left w:val="nil"/>
              <w:bottom w:val="nil"/>
              <w:right w:val="nil"/>
            </w:tcBorders>
            <w:shd w:val="clear" w:color="auto" w:fill="auto"/>
            <w:noWrap/>
            <w:vAlign w:val="bottom"/>
            <w:hideMark/>
          </w:tcPr>
          <w:p w14:paraId="2591BAF0" w14:textId="77777777" w:rsidR="00A14A03" w:rsidRPr="00670396" w:rsidRDefault="00A14A03" w:rsidP="00AE2262">
            <w:pPr>
              <w:jc w:val="center"/>
              <w:rPr>
                <w:rFonts w:ascii="Times New Roman" w:eastAsia="Times New Roman" w:hAnsi="Times New Roman" w:cs="Times New Roman"/>
                <w:color w:val="000000"/>
              </w:rPr>
            </w:pPr>
            <w:r w:rsidRPr="00670396">
              <w:rPr>
                <w:rFonts w:ascii="Times New Roman" w:eastAsia="Times New Roman" w:hAnsi="Times New Roman" w:cs="Times New Roman"/>
                <w:color w:val="000000"/>
              </w:rPr>
              <w:t>384</w:t>
            </w:r>
          </w:p>
        </w:tc>
      </w:tr>
      <w:tr w:rsidR="00A14A03" w:rsidRPr="007A5E01" w14:paraId="06163C79" w14:textId="77777777" w:rsidTr="00AE2262">
        <w:trPr>
          <w:trHeight w:val="300"/>
        </w:trPr>
        <w:tc>
          <w:tcPr>
            <w:tcW w:w="2100" w:type="dxa"/>
            <w:tcBorders>
              <w:top w:val="nil"/>
              <w:left w:val="nil"/>
              <w:bottom w:val="nil"/>
              <w:right w:val="nil"/>
            </w:tcBorders>
            <w:shd w:val="clear" w:color="auto" w:fill="auto"/>
            <w:noWrap/>
            <w:vAlign w:val="bottom"/>
            <w:hideMark/>
          </w:tcPr>
          <w:p w14:paraId="133CDB5E" w14:textId="77777777" w:rsidR="00A14A03" w:rsidRPr="007A5E01" w:rsidRDefault="00A14A03" w:rsidP="00AE2262">
            <w:pPr>
              <w:rPr>
                <w:rFonts w:ascii="Times New Roman" w:eastAsia="Times New Roman" w:hAnsi="Times New Roman" w:cs="Times New Roman"/>
                <w:color w:val="000000"/>
              </w:rPr>
            </w:pPr>
          </w:p>
        </w:tc>
        <w:tc>
          <w:tcPr>
            <w:tcW w:w="1300" w:type="dxa"/>
            <w:tcBorders>
              <w:top w:val="nil"/>
              <w:left w:val="nil"/>
              <w:bottom w:val="nil"/>
              <w:right w:val="nil"/>
            </w:tcBorders>
            <w:shd w:val="clear" w:color="auto" w:fill="auto"/>
            <w:noWrap/>
            <w:vAlign w:val="bottom"/>
            <w:hideMark/>
          </w:tcPr>
          <w:p w14:paraId="20B872A0" w14:textId="77777777" w:rsidR="00A14A03" w:rsidRPr="007A5E01" w:rsidRDefault="00A14A03" w:rsidP="00AE2262">
            <w:pPr>
              <w:jc w:val="center"/>
              <w:rPr>
                <w:rFonts w:ascii="Times New Roman" w:eastAsia="Times New Roman" w:hAnsi="Times New Roman" w:cs="Times New Roman"/>
                <w:color w:val="000000"/>
              </w:rPr>
            </w:pPr>
            <w:r w:rsidRPr="007A5E01">
              <w:rPr>
                <w:rFonts w:ascii="Times New Roman" w:eastAsia="Times New Roman" w:hAnsi="Times New Roman" w:cs="Times New Roman"/>
                <w:color w:val="000000"/>
              </w:rPr>
              <w:t>p value</w:t>
            </w:r>
          </w:p>
        </w:tc>
        <w:tc>
          <w:tcPr>
            <w:tcW w:w="1300" w:type="dxa"/>
            <w:tcBorders>
              <w:top w:val="nil"/>
              <w:left w:val="nil"/>
              <w:bottom w:val="nil"/>
              <w:right w:val="nil"/>
            </w:tcBorders>
            <w:shd w:val="clear" w:color="auto" w:fill="auto"/>
            <w:noWrap/>
            <w:vAlign w:val="bottom"/>
            <w:hideMark/>
          </w:tcPr>
          <w:p w14:paraId="5F1236EB" w14:textId="77777777" w:rsidR="00A14A03" w:rsidRPr="00400D06" w:rsidRDefault="00A14A03" w:rsidP="00AE2262">
            <w:pPr>
              <w:jc w:val="center"/>
              <w:rPr>
                <w:rFonts w:ascii="Times New Roman" w:eastAsia="Times New Roman" w:hAnsi="Times New Roman" w:cs="Times New Roman"/>
                <w:color w:val="000000"/>
              </w:rPr>
            </w:pPr>
            <w:r w:rsidRPr="007A5E01">
              <w:rPr>
                <w:rFonts w:ascii="Times New Roman" w:eastAsia="Times New Roman" w:hAnsi="Times New Roman" w:cs="Times New Roman"/>
                <w:color w:val="000000"/>
              </w:rPr>
              <w:t>0.00***</w:t>
            </w:r>
          </w:p>
        </w:tc>
        <w:tc>
          <w:tcPr>
            <w:tcW w:w="1300" w:type="dxa"/>
            <w:tcBorders>
              <w:top w:val="nil"/>
              <w:left w:val="nil"/>
              <w:bottom w:val="nil"/>
              <w:right w:val="nil"/>
            </w:tcBorders>
            <w:shd w:val="clear" w:color="auto" w:fill="auto"/>
            <w:noWrap/>
            <w:vAlign w:val="bottom"/>
            <w:hideMark/>
          </w:tcPr>
          <w:p w14:paraId="58D1CA8F" w14:textId="77777777" w:rsidR="00A14A03" w:rsidRPr="00400D06" w:rsidRDefault="00A14A03" w:rsidP="00AE2262">
            <w:pPr>
              <w:jc w:val="center"/>
              <w:rPr>
                <w:rFonts w:ascii="Times New Roman" w:eastAsia="Times New Roman" w:hAnsi="Times New Roman" w:cs="Times New Roman"/>
                <w:color w:val="000000"/>
              </w:rPr>
            </w:pPr>
          </w:p>
        </w:tc>
        <w:tc>
          <w:tcPr>
            <w:tcW w:w="1300" w:type="dxa"/>
            <w:tcBorders>
              <w:top w:val="nil"/>
              <w:left w:val="nil"/>
              <w:bottom w:val="nil"/>
              <w:right w:val="nil"/>
            </w:tcBorders>
            <w:shd w:val="clear" w:color="auto" w:fill="auto"/>
            <w:noWrap/>
            <w:vAlign w:val="bottom"/>
            <w:hideMark/>
          </w:tcPr>
          <w:p w14:paraId="0354AD17" w14:textId="77777777" w:rsidR="00A14A03" w:rsidRPr="002C127D" w:rsidRDefault="00A14A03" w:rsidP="00AE2262">
            <w:pPr>
              <w:jc w:val="center"/>
              <w:rPr>
                <w:rFonts w:ascii="Times New Roman" w:eastAsia="Times New Roman" w:hAnsi="Times New Roman" w:cs="Times New Roman"/>
                <w:color w:val="000000"/>
              </w:rPr>
            </w:pPr>
            <w:r w:rsidRPr="002C127D">
              <w:rPr>
                <w:rFonts w:ascii="Times New Roman" w:eastAsia="Times New Roman" w:hAnsi="Times New Roman" w:cs="Times New Roman"/>
                <w:color w:val="000000"/>
              </w:rPr>
              <w:t>0.00***</w:t>
            </w:r>
          </w:p>
        </w:tc>
        <w:tc>
          <w:tcPr>
            <w:tcW w:w="1300" w:type="dxa"/>
            <w:tcBorders>
              <w:top w:val="nil"/>
              <w:left w:val="nil"/>
              <w:bottom w:val="nil"/>
              <w:right w:val="nil"/>
            </w:tcBorders>
            <w:shd w:val="clear" w:color="auto" w:fill="auto"/>
            <w:noWrap/>
            <w:vAlign w:val="bottom"/>
            <w:hideMark/>
          </w:tcPr>
          <w:p w14:paraId="6280F65D" w14:textId="77777777" w:rsidR="00A14A03" w:rsidRPr="000E33A5" w:rsidRDefault="00A14A03" w:rsidP="00AE2262">
            <w:pPr>
              <w:jc w:val="center"/>
              <w:rPr>
                <w:rFonts w:ascii="Times New Roman" w:eastAsia="Times New Roman" w:hAnsi="Times New Roman" w:cs="Times New Roman"/>
                <w:color w:val="000000"/>
              </w:rPr>
            </w:pPr>
          </w:p>
        </w:tc>
        <w:tc>
          <w:tcPr>
            <w:tcW w:w="1300" w:type="dxa"/>
            <w:tcBorders>
              <w:top w:val="nil"/>
              <w:left w:val="nil"/>
              <w:bottom w:val="nil"/>
              <w:right w:val="nil"/>
            </w:tcBorders>
            <w:shd w:val="clear" w:color="auto" w:fill="auto"/>
            <w:noWrap/>
            <w:vAlign w:val="bottom"/>
            <w:hideMark/>
          </w:tcPr>
          <w:p w14:paraId="087831AC" w14:textId="77777777" w:rsidR="00A14A03" w:rsidRPr="00E339E4" w:rsidRDefault="00A14A03" w:rsidP="00AE2262">
            <w:pPr>
              <w:jc w:val="center"/>
              <w:rPr>
                <w:rFonts w:ascii="Times New Roman" w:eastAsia="Times New Roman" w:hAnsi="Times New Roman" w:cs="Times New Roman"/>
                <w:color w:val="000000"/>
              </w:rPr>
            </w:pPr>
          </w:p>
        </w:tc>
      </w:tr>
    </w:tbl>
    <w:p w14:paraId="1E1AAF26" w14:textId="77777777" w:rsidR="00A14A03" w:rsidRPr="00400D06" w:rsidRDefault="00A14A03" w:rsidP="00A14A03">
      <w:pPr>
        <w:rPr>
          <w:rFonts w:ascii="Times New Roman" w:hAnsi="Times New Roman" w:cs="Times New Roman"/>
        </w:rPr>
      </w:pPr>
    </w:p>
    <w:p w14:paraId="00BDF955" w14:textId="77777777" w:rsidR="00A14A03" w:rsidRPr="000E33A5" w:rsidRDefault="00A14A03" w:rsidP="00A14A03">
      <w:pPr>
        <w:rPr>
          <w:rFonts w:ascii="Times New Roman" w:hAnsi="Times New Roman" w:cs="Times New Roman"/>
        </w:rPr>
      </w:pPr>
    </w:p>
    <w:p w14:paraId="1312F205" w14:textId="77777777" w:rsidR="00A14A03" w:rsidRPr="007A5E01" w:rsidRDefault="00A14A03" w:rsidP="00A14A03">
      <w:pPr>
        <w:rPr>
          <w:rFonts w:ascii="Times New Roman" w:hAnsi="Times New Roman" w:cs="Times New Roman"/>
        </w:rPr>
      </w:pPr>
    </w:p>
    <w:p w14:paraId="58DB6FE0" w14:textId="77777777" w:rsidR="00A14A03" w:rsidRPr="007A5E01" w:rsidRDefault="00A14A03" w:rsidP="00A14A03">
      <w:pPr>
        <w:rPr>
          <w:rFonts w:ascii="Times New Roman" w:hAnsi="Times New Roman" w:cs="Times New Roman"/>
        </w:rPr>
      </w:pPr>
    </w:p>
    <w:p w14:paraId="755FC358" w14:textId="77777777" w:rsidR="00A14A03" w:rsidRPr="007A5E01" w:rsidRDefault="00A14A03" w:rsidP="00A14A03">
      <w:pPr>
        <w:rPr>
          <w:rFonts w:ascii="Times New Roman" w:hAnsi="Times New Roman" w:cs="Times New Roman"/>
        </w:rPr>
      </w:pPr>
    </w:p>
    <w:p w14:paraId="75D5FCC1" w14:textId="77777777" w:rsidR="00A14A03" w:rsidRPr="007A5E01" w:rsidRDefault="00A14A03" w:rsidP="00A14A03">
      <w:pPr>
        <w:rPr>
          <w:rFonts w:ascii="Times New Roman" w:hAnsi="Times New Roman" w:cs="Times New Roman"/>
        </w:rPr>
      </w:pPr>
    </w:p>
    <w:p w14:paraId="2D4E66A2" w14:textId="77777777" w:rsidR="00A14A03" w:rsidRPr="007A5E01" w:rsidRDefault="00A14A03" w:rsidP="00A14A03">
      <w:pPr>
        <w:rPr>
          <w:rFonts w:ascii="Times New Roman" w:hAnsi="Times New Roman" w:cs="Times New Roman"/>
        </w:rPr>
      </w:pPr>
    </w:p>
    <w:p w14:paraId="33C42BB2" w14:textId="77777777" w:rsidR="00A14A03" w:rsidRPr="007A5E01" w:rsidRDefault="00A14A03" w:rsidP="00A14A03">
      <w:pPr>
        <w:rPr>
          <w:rFonts w:ascii="Times New Roman" w:hAnsi="Times New Roman" w:cs="Times New Roman"/>
        </w:rPr>
      </w:pPr>
    </w:p>
    <w:p w14:paraId="07CD1326" w14:textId="77777777" w:rsidR="00A14A03" w:rsidRPr="007A5E01" w:rsidRDefault="00A14A03" w:rsidP="00A14A03">
      <w:pPr>
        <w:rPr>
          <w:rFonts w:ascii="Times New Roman" w:hAnsi="Times New Roman" w:cs="Times New Roman"/>
        </w:rPr>
      </w:pPr>
    </w:p>
    <w:p w14:paraId="61645738" w14:textId="77777777" w:rsidR="00A14A03" w:rsidRPr="007A5E01" w:rsidRDefault="00A14A03" w:rsidP="00A14A03">
      <w:pPr>
        <w:rPr>
          <w:rFonts w:ascii="Times New Roman" w:hAnsi="Times New Roman" w:cs="Times New Roman"/>
        </w:rPr>
      </w:pPr>
    </w:p>
    <w:p w14:paraId="6172E4F2" w14:textId="77777777" w:rsidR="00A14A03" w:rsidRPr="007A5E01" w:rsidRDefault="00A14A03" w:rsidP="00A14A03">
      <w:pPr>
        <w:rPr>
          <w:rFonts w:ascii="Times New Roman" w:hAnsi="Times New Roman" w:cs="Times New Roman"/>
        </w:rPr>
      </w:pPr>
    </w:p>
    <w:p w14:paraId="0FC5FD72" w14:textId="77777777" w:rsidR="00A14A03" w:rsidRPr="007A5E01" w:rsidRDefault="00A14A03" w:rsidP="00A14A03">
      <w:pPr>
        <w:rPr>
          <w:rFonts w:ascii="Times New Roman" w:hAnsi="Times New Roman" w:cs="Times New Roman"/>
        </w:rPr>
      </w:pPr>
    </w:p>
    <w:p w14:paraId="3998B69C" w14:textId="77777777" w:rsidR="00A14A03" w:rsidRPr="007A5E01" w:rsidRDefault="00A14A03" w:rsidP="00A14A03">
      <w:pPr>
        <w:rPr>
          <w:rFonts w:ascii="Times New Roman" w:hAnsi="Times New Roman" w:cs="Times New Roman"/>
        </w:rPr>
      </w:pPr>
    </w:p>
    <w:p w14:paraId="32A2615B" w14:textId="77777777" w:rsidR="00A14A03" w:rsidRPr="007A5E01" w:rsidRDefault="00A14A03" w:rsidP="00A14A03">
      <w:pPr>
        <w:rPr>
          <w:rFonts w:ascii="Times New Roman" w:hAnsi="Times New Roman" w:cs="Times New Roman"/>
        </w:rPr>
      </w:pPr>
    </w:p>
    <w:p w14:paraId="5FD691D3" w14:textId="77777777" w:rsidR="00A14A03" w:rsidRDefault="00A14A03" w:rsidP="00A14A03">
      <w:pPr>
        <w:rPr>
          <w:rFonts w:ascii="Times New Roman" w:hAnsi="Times New Roman" w:cs="Times New Roman"/>
          <w:b/>
        </w:rPr>
      </w:pPr>
      <w:r>
        <w:rPr>
          <w:rFonts w:ascii="Times New Roman" w:hAnsi="Times New Roman" w:cs="Times New Roman"/>
          <w:b/>
        </w:rPr>
        <w:lastRenderedPageBreak/>
        <w:t>Table 2</w:t>
      </w:r>
    </w:p>
    <w:p w14:paraId="45A54616" w14:textId="77777777" w:rsidR="00A14A03" w:rsidRPr="00E339E4" w:rsidRDefault="00A14A03" w:rsidP="00A14A03">
      <w:pPr>
        <w:rPr>
          <w:rFonts w:ascii="Times New Roman" w:hAnsi="Times New Roman" w:cs="Times New Roman"/>
          <w:b/>
        </w:rPr>
      </w:pPr>
      <w:r w:rsidRPr="00E339E4">
        <w:rPr>
          <w:rFonts w:ascii="Times New Roman" w:hAnsi="Times New Roman" w:cs="Times New Roman"/>
          <w:b/>
        </w:rPr>
        <w:t>Industry Distribution for Lobbying and R&amp;D/Sales</w:t>
      </w:r>
    </w:p>
    <w:p w14:paraId="707E8C30" w14:textId="77777777" w:rsidR="00A14A03" w:rsidRPr="007A5E01" w:rsidRDefault="00A14A03" w:rsidP="00A14A03">
      <w:pPr>
        <w:rPr>
          <w:rFonts w:ascii="Times New Roman" w:hAnsi="Times New Roman" w:cs="Times New Roman"/>
        </w:rPr>
      </w:pPr>
    </w:p>
    <w:p w14:paraId="41D4F13E" w14:textId="77777777" w:rsidR="00A14A03" w:rsidRPr="007A5E01" w:rsidRDefault="00A14A03" w:rsidP="00A14A03">
      <w:pPr>
        <w:rPr>
          <w:rFonts w:ascii="Times New Roman" w:hAnsi="Times New Roman" w:cs="Times New Roman"/>
        </w:rPr>
      </w:pPr>
    </w:p>
    <w:tbl>
      <w:tblPr>
        <w:tblW w:w="11052" w:type="dxa"/>
        <w:tblInd w:w="-684" w:type="dxa"/>
        <w:tblLayout w:type="fixed"/>
        <w:tblLook w:val="04A0" w:firstRow="1" w:lastRow="0" w:firstColumn="1" w:lastColumn="0" w:noHBand="0" w:noVBand="1"/>
      </w:tblPr>
      <w:tblGrid>
        <w:gridCol w:w="915"/>
        <w:gridCol w:w="4500"/>
        <w:gridCol w:w="1165"/>
        <w:gridCol w:w="1322"/>
        <w:gridCol w:w="1350"/>
        <w:gridCol w:w="810"/>
        <w:gridCol w:w="990"/>
      </w:tblGrid>
      <w:tr w:rsidR="00A14A03" w:rsidRPr="007A5E01" w14:paraId="31788C9D" w14:textId="77777777" w:rsidTr="00AE2262">
        <w:trPr>
          <w:trHeight w:val="300"/>
        </w:trPr>
        <w:tc>
          <w:tcPr>
            <w:tcW w:w="915" w:type="dxa"/>
            <w:tcBorders>
              <w:top w:val="single" w:sz="4" w:space="0" w:color="auto"/>
              <w:left w:val="nil"/>
              <w:bottom w:val="nil"/>
              <w:right w:val="nil"/>
            </w:tcBorders>
            <w:shd w:val="clear" w:color="auto" w:fill="auto"/>
            <w:noWrap/>
            <w:vAlign w:val="bottom"/>
            <w:hideMark/>
          </w:tcPr>
          <w:p w14:paraId="2137AF44" w14:textId="77777777" w:rsidR="00A14A03" w:rsidRPr="00670396" w:rsidRDefault="00A14A03" w:rsidP="00AE2262">
            <w:pPr>
              <w:rPr>
                <w:rFonts w:ascii="Times New Roman" w:eastAsia="Times New Roman" w:hAnsi="Times New Roman" w:cs="Times New Roman"/>
                <w:b/>
                <w:bCs/>
                <w:color w:val="000000"/>
              </w:rPr>
            </w:pPr>
            <w:r w:rsidRPr="00670396">
              <w:rPr>
                <w:rFonts w:ascii="Times New Roman" w:eastAsia="Times New Roman" w:hAnsi="Times New Roman" w:cs="Times New Roman"/>
                <w:b/>
                <w:bCs/>
                <w:color w:val="000000"/>
              </w:rPr>
              <w:t> </w:t>
            </w:r>
          </w:p>
        </w:tc>
        <w:tc>
          <w:tcPr>
            <w:tcW w:w="4500" w:type="dxa"/>
            <w:tcBorders>
              <w:top w:val="single" w:sz="4" w:space="0" w:color="auto"/>
              <w:left w:val="nil"/>
              <w:bottom w:val="nil"/>
              <w:right w:val="nil"/>
            </w:tcBorders>
            <w:shd w:val="clear" w:color="auto" w:fill="auto"/>
            <w:noWrap/>
            <w:vAlign w:val="bottom"/>
            <w:hideMark/>
          </w:tcPr>
          <w:p w14:paraId="704B9213" w14:textId="77777777" w:rsidR="00A14A03" w:rsidRPr="00670396" w:rsidRDefault="00A14A03" w:rsidP="00AE2262">
            <w:pPr>
              <w:rPr>
                <w:rFonts w:ascii="Times New Roman" w:eastAsia="Times New Roman" w:hAnsi="Times New Roman" w:cs="Times New Roman"/>
                <w:b/>
                <w:bCs/>
                <w:color w:val="000000"/>
              </w:rPr>
            </w:pPr>
            <w:r w:rsidRPr="00670396">
              <w:rPr>
                <w:rFonts w:ascii="Times New Roman" w:eastAsia="Times New Roman" w:hAnsi="Times New Roman" w:cs="Times New Roman"/>
                <w:b/>
                <w:bCs/>
                <w:color w:val="000000"/>
              </w:rPr>
              <w:t> </w:t>
            </w:r>
          </w:p>
        </w:tc>
        <w:tc>
          <w:tcPr>
            <w:tcW w:w="1165" w:type="dxa"/>
            <w:tcBorders>
              <w:top w:val="single" w:sz="4" w:space="0" w:color="auto"/>
              <w:left w:val="nil"/>
              <w:bottom w:val="nil"/>
              <w:right w:val="nil"/>
            </w:tcBorders>
            <w:shd w:val="clear" w:color="auto" w:fill="auto"/>
            <w:noWrap/>
            <w:vAlign w:val="bottom"/>
            <w:hideMark/>
          </w:tcPr>
          <w:p w14:paraId="1E2FE2F5" w14:textId="77777777" w:rsidR="00A14A03" w:rsidRPr="00670396" w:rsidRDefault="00A14A03" w:rsidP="00AE2262">
            <w:pPr>
              <w:rPr>
                <w:rFonts w:ascii="Times New Roman" w:eastAsia="Times New Roman" w:hAnsi="Times New Roman" w:cs="Times New Roman"/>
                <w:b/>
                <w:bCs/>
                <w:color w:val="000000"/>
              </w:rPr>
            </w:pPr>
            <w:r w:rsidRPr="00670396">
              <w:rPr>
                <w:rFonts w:ascii="Times New Roman" w:eastAsia="Times New Roman" w:hAnsi="Times New Roman" w:cs="Times New Roman"/>
                <w:b/>
                <w:bCs/>
                <w:color w:val="000000"/>
              </w:rPr>
              <w:t> </w:t>
            </w:r>
          </w:p>
        </w:tc>
        <w:tc>
          <w:tcPr>
            <w:tcW w:w="2672" w:type="dxa"/>
            <w:gridSpan w:val="2"/>
            <w:tcBorders>
              <w:top w:val="single" w:sz="4" w:space="0" w:color="auto"/>
              <w:left w:val="nil"/>
              <w:bottom w:val="single" w:sz="4" w:space="0" w:color="auto"/>
              <w:right w:val="nil"/>
            </w:tcBorders>
            <w:shd w:val="clear" w:color="auto" w:fill="auto"/>
            <w:noWrap/>
            <w:vAlign w:val="bottom"/>
            <w:hideMark/>
          </w:tcPr>
          <w:p w14:paraId="2E2294D1" w14:textId="77777777" w:rsidR="00A14A03" w:rsidRPr="00670396" w:rsidRDefault="00A14A03" w:rsidP="00AE2262">
            <w:pPr>
              <w:jc w:val="center"/>
              <w:rPr>
                <w:rFonts w:ascii="Times New Roman" w:eastAsia="Times New Roman" w:hAnsi="Times New Roman" w:cs="Times New Roman"/>
                <w:b/>
                <w:bCs/>
                <w:color w:val="000000"/>
              </w:rPr>
            </w:pPr>
            <w:r w:rsidRPr="00670396">
              <w:rPr>
                <w:rFonts w:ascii="Times New Roman" w:eastAsia="Times New Roman" w:hAnsi="Times New Roman" w:cs="Times New Roman"/>
                <w:b/>
                <w:bCs/>
                <w:color w:val="000000"/>
              </w:rPr>
              <w:t>Lobbying</w:t>
            </w:r>
          </w:p>
        </w:tc>
        <w:tc>
          <w:tcPr>
            <w:tcW w:w="1800" w:type="dxa"/>
            <w:gridSpan w:val="2"/>
            <w:tcBorders>
              <w:top w:val="single" w:sz="4" w:space="0" w:color="auto"/>
              <w:left w:val="nil"/>
              <w:bottom w:val="single" w:sz="4" w:space="0" w:color="auto"/>
              <w:right w:val="nil"/>
            </w:tcBorders>
            <w:shd w:val="clear" w:color="auto" w:fill="auto"/>
            <w:noWrap/>
            <w:vAlign w:val="bottom"/>
            <w:hideMark/>
          </w:tcPr>
          <w:p w14:paraId="7FB3D829" w14:textId="77777777" w:rsidR="00A14A03" w:rsidRPr="00670396" w:rsidRDefault="00A14A03" w:rsidP="00AE2262">
            <w:pPr>
              <w:jc w:val="center"/>
              <w:rPr>
                <w:rFonts w:ascii="Times New Roman" w:eastAsia="Times New Roman" w:hAnsi="Times New Roman" w:cs="Times New Roman"/>
                <w:b/>
                <w:bCs/>
                <w:color w:val="000000"/>
              </w:rPr>
            </w:pPr>
            <w:r w:rsidRPr="00670396">
              <w:rPr>
                <w:rFonts w:ascii="Times New Roman" w:eastAsia="Times New Roman" w:hAnsi="Times New Roman" w:cs="Times New Roman"/>
                <w:b/>
                <w:bCs/>
                <w:color w:val="000000"/>
              </w:rPr>
              <w:t>R&amp;D/Sales</w:t>
            </w:r>
          </w:p>
        </w:tc>
      </w:tr>
      <w:tr w:rsidR="00A14A03" w:rsidRPr="007A5E01" w14:paraId="602A605C" w14:textId="77777777" w:rsidTr="00AE2262">
        <w:trPr>
          <w:trHeight w:val="300"/>
        </w:trPr>
        <w:tc>
          <w:tcPr>
            <w:tcW w:w="915" w:type="dxa"/>
            <w:tcBorders>
              <w:top w:val="nil"/>
              <w:left w:val="nil"/>
              <w:bottom w:val="single" w:sz="4" w:space="0" w:color="auto"/>
              <w:right w:val="nil"/>
            </w:tcBorders>
            <w:shd w:val="clear" w:color="auto" w:fill="auto"/>
            <w:vAlign w:val="center"/>
            <w:hideMark/>
          </w:tcPr>
          <w:p w14:paraId="78B73647" w14:textId="77777777" w:rsidR="00A14A03" w:rsidRPr="00670396" w:rsidRDefault="00A14A03" w:rsidP="00AE2262">
            <w:pPr>
              <w:rPr>
                <w:rFonts w:ascii="Times New Roman" w:eastAsia="Times New Roman" w:hAnsi="Times New Roman" w:cs="Times New Roman"/>
                <w:b/>
                <w:bCs/>
                <w:color w:val="000000"/>
              </w:rPr>
            </w:pPr>
            <w:r w:rsidRPr="00670396">
              <w:rPr>
                <w:rFonts w:ascii="Times New Roman" w:eastAsia="Times New Roman" w:hAnsi="Times New Roman" w:cs="Times New Roman"/>
                <w:b/>
                <w:bCs/>
                <w:color w:val="000000"/>
              </w:rPr>
              <w:t>2-digit SIC code</w:t>
            </w:r>
          </w:p>
        </w:tc>
        <w:tc>
          <w:tcPr>
            <w:tcW w:w="4500" w:type="dxa"/>
            <w:tcBorders>
              <w:top w:val="nil"/>
              <w:left w:val="nil"/>
              <w:bottom w:val="single" w:sz="4" w:space="0" w:color="auto"/>
              <w:right w:val="nil"/>
            </w:tcBorders>
            <w:shd w:val="clear" w:color="auto" w:fill="auto"/>
            <w:noWrap/>
            <w:vAlign w:val="bottom"/>
            <w:hideMark/>
          </w:tcPr>
          <w:p w14:paraId="27AA3A6E" w14:textId="77777777" w:rsidR="00A14A03" w:rsidRPr="00670396" w:rsidRDefault="00A14A03" w:rsidP="00AE2262">
            <w:pPr>
              <w:rPr>
                <w:rFonts w:ascii="Times New Roman" w:eastAsia="Times New Roman" w:hAnsi="Times New Roman" w:cs="Times New Roman"/>
                <w:b/>
                <w:bCs/>
                <w:color w:val="000000"/>
              </w:rPr>
            </w:pPr>
            <w:r w:rsidRPr="00670396">
              <w:rPr>
                <w:rFonts w:ascii="Times New Roman" w:eastAsia="Times New Roman" w:hAnsi="Times New Roman" w:cs="Times New Roman"/>
                <w:b/>
                <w:bCs/>
                <w:color w:val="000000"/>
              </w:rPr>
              <w:t>Industry</w:t>
            </w:r>
          </w:p>
        </w:tc>
        <w:tc>
          <w:tcPr>
            <w:tcW w:w="1165" w:type="dxa"/>
            <w:tcBorders>
              <w:top w:val="nil"/>
              <w:left w:val="nil"/>
              <w:bottom w:val="single" w:sz="4" w:space="0" w:color="auto"/>
              <w:right w:val="nil"/>
            </w:tcBorders>
            <w:shd w:val="clear" w:color="auto" w:fill="auto"/>
            <w:noWrap/>
            <w:vAlign w:val="bottom"/>
            <w:hideMark/>
          </w:tcPr>
          <w:p w14:paraId="48905285" w14:textId="77777777" w:rsidR="00A14A03" w:rsidRPr="00670396" w:rsidRDefault="00A14A03" w:rsidP="00AE2262">
            <w:pPr>
              <w:jc w:val="center"/>
              <w:rPr>
                <w:rFonts w:ascii="Times New Roman" w:eastAsia="Times New Roman" w:hAnsi="Times New Roman" w:cs="Times New Roman"/>
                <w:b/>
                <w:bCs/>
                <w:color w:val="000000"/>
              </w:rPr>
            </w:pPr>
            <w:r w:rsidRPr="00670396">
              <w:rPr>
                <w:rFonts w:ascii="Times New Roman" w:eastAsia="Times New Roman" w:hAnsi="Times New Roman" w:cs="Times New Roman"/>
                <w:b/>
                <w:bCs/>
                <w:color w:val="000000"/>
              </w:rPr>
              <w:t>Number of obs.</w:t>
            </w:r>
          </w:p>
        </w:tc>
        <w:tc>
          <w:tcPr>
            <w:tcW w:w="1322" w:type="dxa"/>
            <w:tcBorders>
              <w:top w:val="nil"/>
              <w:left w:val="nil"/>
              <w:bottom w:val="single" w:sz="4" w:space="0" w:color="auto"/>
              <w:right w:val="nil"/>
            </w:tcBorders>
            <w:shd w:val="clear" w:color="auto" w:fill="auto"/>
            <w:noWrap/>
            <w:vAlign w:val="bottom"/>
            <w:hideMark/>
          </w:tcPr>
          <w:p w14:paraId="63BA99DF" w14:textId="77777777" w:rsidR="00A14A03" w:rsidRPr="00670396" w:rsidRDefault="00A14A03" w:rsidP="00AE2262">
            <w:pPr>
              <w:ind w:right="-260"/>
              <w:jc w:val="center"/>
              <w:rPr>
                <w:rFonts w:ascii="Times New Roman" w:eastAsia="Times New Roman" w:hAnsi="Times New Roman" w:cs="Times New Roman"/>
                <w:b/>
                <w:bCs/>
                <w:color w:val="000000"/>
              </w:rPr>
            </w:pPr>
            <w:r w:rsidRPr="00670396">
              <w:rPr>
                <w:rFonts w:ascii="Times New Roman" w:eastAsia="Times New Roman" w:hAnsi="Times New Roman" w:cs="Times New Roman"/>
                <w:b/>
                <w:bCs/>
                <w:color w:val="000000"/>
              </w:rPr>
              <w:t>mean</w:t>
            </w:r>
          </w:p>
        </w:tc>
        <w:tc>
          <w:tcPr>
            <w:tcW w:w="1350" w:type="dxa"/>
            <w:tcBorders>
              <w:top w:val="nil"/>
              <w:left w:val="nil"/>
              <w:bottom w:val="single" w:sz="4" w:space="0" w:color="auto"/>
              <w:right w:val="nil"/>
            </w:tcBorders>
            <w:shd w:val="clear" w:color="auto" w:fill="auto"/>
            <w:noWrap/>
            <w:vAlign w:val="bottom"/>
            <w:hideMark/>
          </w:tcPr>
          <w:p w14:paraId="08ADECE3" w14:textId="77777777" w:rsidR="00A14A03" w:rsidRPr="00670396" w:rsidRDefault="00A14A03" w:rsidP="00AE2262">
            <w:pPr>
              <w:jc w:val="center"/>
              <w:rPr>
                <w:rFonts w:ascii="Times New Roman" w:eastAsia="Times New Roman" w:hAnsi="Times New Roman" w:cs="Times New Roman"/>
                <w:b/>
                <w:bCs/>
                <w:color w:val="000000"/>
              </w:rPr>
            </w:pPr>
            <w:r w:rsidRPr="00670396">
              <w:rPr>
                <w:rFonts w:ascii="Times New Roman" w:eastAsia="Times New Roman" w:hAnsi="Times New Roman" w:cs="Times New Roman"/>
                <w:b/>
                <w:bCs/>
                <w:color w:val="000000"/>
              </w:rPr>
              <w:t>median</w:t>
            </w:r>
          </w:p>
        </w:tc>
        <w:tc>
          <w:tcPr>
            <w:tcW w:w="810" w:type="dxa"/>
            <w:tcBorders>
              <w:top w:val="nil"/>
              <w:left w:val="nil"/>
              <w:bottom w:val="single" w:sz="4" w:space="0" w:color="auto"/>
              <w:right w:val="nil"/>
            </w:tcBorders>
            <w:shd w:val="clear" w:color="auto" w:fill="auto"/>
            <w:noWrap/>
            <w:vAlign w:val="bottom"/>
            <w:hideMark/>
          </w:tcPr>
          <w:p w14:paraId="13657105" w14:textId="77777777" w:rsidR="00A14A03" w:rsidRPr="00670396" w:rsidRDefault="00A14A03" w:rsidP="00AE2262">
            <w:pPr>
              <w:jc w:val="center"/>
              <w:rPr>
                <w:rFonts w:ascii="Times New Roman" w:eastAsia="Times New Roman" w:hAnsi="Times New Roman" w:cs="Times New Roman"/>
                <w:b/>
                <w:bCs/>
                <w:color w:val="000000"/>
              </w:rPr>
            </w:pPr>
            <w:r w:rsidRPr="00670396">
              <w:rPr>
                <w:rFonts w:ascii="Times New Roman" w:eastAsia="Times New Roman" w:hAnsi="Times New Roman" w:cs="Times New Roman"/>
                <w:b/>
                <w:bCs/>
                <w:color w:val="000000"/>
              </w:rPr>
              <w:t>mean</w:t>
            </w:r>
          </w:p>
        </w:tc>
        <w:tc>
          <w:tcPr>
            <w:tcW w:w="990" w:type="dxa"/>
            <w:tcBorders>
              <w:top w:val="nil"/>
              <w:left w:val="nil"/>
              <w:bottom w:val="single" w:sz="4" w:space="0" w:color="auto"/>
              <w:right w:val="nil"/>
            </w:tcBorders>
            <w:shd w:val="clear" w:color="auto" w:fill="auto"/>
            <w:noWrap/>
            <w:vAlign w:val="bottom"/>
            <w:hideMark/>
          </w:tcPr>
          <w:p w14:paraId="35AD9B44" w14:textId="77777777" w:rsidR="00A14A03" w:rsidRPr="00670396" w:rsidRDefault="00A14A03" w:rsidP="00AE2262">
            <w:pPr>
              <w:jc w:val="center"/>
              <w:rPr>
                <w:rFonts w:ascii="Times New Roman" w:eastAsia="Times New Roman" w:hAnsi="Times New Roman" w:cs="Times New Roman"/>
                <w:b/>
                <w:bCs/>
                <w:color w:val="000000"/>
              </w:rPr>
            </w:pPr>
            <w:r w:rsidRPr="00670396">
              <w:rPr>
                <w:rFonts w:ascii="Times New Roman" w:eastAsia="Times New Roman" w:hAnsi="Times New Roman" w:cs="Times New Roman"/>
                <w:b/>
                <w:bCs/>
                <w:color w:val="000000"/>
              </w:rPr>
              <w:t>median</w:t>
            </w:r>
          </w:p>
        </w:tc>
      </w:tr>
      <w:tr w:rsidR="00A14A03" w:rsidRPr="007A5E01" w14:paraId="43930C72" w14:textId="77777777" w:rsidTr="00AE2262">
        <w:trPr>
          <w:trHeight w:val="300"/>
        </w:trPr>
        <w:tc>
          <w:tcPr>
            <w:tcW w:w="915" w:type="dxa"/>
            <w:tcBorders>
              <w:top w:val="nil"/>
              <w:left w:val="nil"/>
              <w:bottom w:val="nil"/>
              <w:right w:val="nil"/>
            </w:tcBorders>
            <w:shd w:val="clear" w:color="auto" w:fill="auto"/>
            <w:noWrap/>
            <w:vAlign w:val="bottom"/>
            <w:hideMark/>
          </w:tcPr>
          <w:p w14:paraId="54BF8F66" w14:textId="77777777" w:rsidR="00A14A03" w:rsidRPr="00670396" w:rsidRDefault="00A14A03" w:rsidP="00AE2262">
            <w:pPr>
              <w:rPr>
                <w:rFonts w:ascii="Times New Roman" w:eastAsia="Times New Roman" w:hAnsi="Times New Roman" w:cs="Times New Roman"/>
                <w:color w:val="000000"/>
              </w:rPr>
            </w:pPr>
          </w:p>
        </w:tc>
        <w:tc>
          <w:tcPr>
            <w:tcW w:w="4500" w:type="dxa"/>
            <w:tcBorders>
              <w:top w:val="nil"/>
              <w:left w:val="nil"/>
              <w:bottom w:val="nil"/>
              <w:right w:val="nil"/>
            </w:tcBorders>
            <w:shd w:val="clear" w:color="auto" w:fill="auto"/>
            <w:noWrap/>
            <w:vAlign w:val="bottom"/>
            <w:hideMark/>
          </w:tcPr>
          <w:p w14:paraId="53ED1E0F" w14:textId="77777777" w:rsidR="00A14A03" w:rsidRPr="00670396" w:rsidRDefault="00A14A03" w:rsidP="00AE2262">
            <w:pPr>
              <w:rPr>
                <w:rFonts w:ascii="Times New Roman" w:eastAsia="Times New Roman" w:hAnsi="Times New Roman" w:cs="Times New Roman"/>
                <w:color w:val="000000"/>
              </w:rPr>
            </w:pPr>
          </w:p>
        </w:tc>
        <w:tc>
          <w:tcPr>
            <w:tcW w:w="1165" w:type="dxa"/>
            <w:tcBorders>
              <w:top w:val="nil"/>
              <w:left w:val="nil"/>
              <w:bottom w:val="nil"/>
              <w:right w:val="nil"/>
            </w:tcBorders>
            <w:shd w:val="clear" w:color="auto" w:fill="auto"/>
            <w:noWrap/>
            <w:vAlign w:val="bottom"/>
            <w:hideMark/>
          </w:tcPr>
          <w:p w14:paraId="4AA715C4" w14:textId="77777777" w:rsidR="00A14A03" w:rsidRPr="00670396" w:rsidRDefault="00A14A03" w:rsidP="00AE2262">
            <w:pPr>
              <w:rPr>
                <w:rFonts w:ascii="Times New Roman" w:eastAsia="Times New Roman" w:hAnsi="Times New Roman" w:cs="Times New Roman"/>
                <w:color w:val="000000"/>
              </w:rPr>
            </w:pPr>
          </w:p>
        </w:tc>
        <w:tc>
          <w:tcPr>
            <w:tcW w:w="1322" w:type="dxa"/>
            <w:tcBorders>
              <w:top w:val="nil"/>
              <w:left w:val="nil"/>
              <w:bottom w:val="nil"/>
              <w:right w:val="nil"/>
            </w:tcBorders>
            <w:shd w:val="clear" w:color="auto" w:fill="auto"/>
            <w:noWrap/>
            <w:vAlign w:val="bottom"/>
            <w:hideMark/>
          </w:tcPr>
          <w:p w14:paraId="06FAE4C3" w14:textId="77777777" w:rsidR="00A14A03" w:rsidRPr="00670396" w:rsidRDefault="00A14A03" w:rsidP="00AE2262">
            <w:pPr>
              <w:rPr>
                <w:rFonts w:ascii="Times New Roman" w:eastAsia="Times New Roman" w:hAnsi="Times New Roman" w:cs="Times New Roman"/>
                <w:color w:val="000000"/>
              </w:rPr>
            </w:pPr>
          </w:p>
        </w:tc>
        <w:tc>
          <w:tcPr>
            <w:tcW w:w="1350" w:type="dxa"/>
            <w:tcBorders>
              <w:top w:val="nil"/>
              <w:left w:val="nil"/>
              <w:bottom w:val="nil"/>
              <w:right w:val="nil"/>
            </w:tcBorders>
            <w:shd w:val="clear" w:color="auto" w:fill="auto"/>
            <w:noWrap/>
            <w:vAlign w:val="bottom"/>
            <w:hideMark/>
          </w:tcPr>
          <w:p w14:paraId="6226B72C" w14:textId="77777777" w:rsidR="00A14A03" w:rsidRPr="00670396" w:rsidRDefault="00A14A03" w:rsidP="00AE2262">
            <w:pPr>
              <w:rPr>
                <w:rFonts w:ascii="Times New Roman" w:eastAsia="Times New Roman" w:hAnsi="Times New Roman" w:cs="Times New Roman"/>
                <w:color w:val="000000"/>
              </w:rPr>
            </w:pPr>
          </w:p>
        </w:tc>
        <w:tc>
          <w:tcPr>
            <w:tcW w:w="810" w:type="dxa"/>
            <w:tcBorders>
              <w:top w:val="nil"/>
              <w:left w:val="nil"/>
              <w:bottom w:val="nil"/>
              <w:right w:val="nil"/>
            </w:tcBorders>
            <w:shd w:val="clear" w:color="auto" w:fill="auto"/>
            <w:noWrap/>
            <w:vAlign w:val="bottom"/>
            <w:hideMark/>
          </w:tcPr>
          <w:p w14:paraId="024E04E1" w14:textId="77777777" w:rsidR="00A14A03" w:rsidRPr="00670396" w:rsidRDefault="00A14A03" w:rsidP="00AE2262">
            <w:pPr>
              <w:rPr>
                <w:rFonts w:ascii="Times New Roman" w:eastAsia="Times New Roman" w:hAnsi="Times New Roman" w:cs="Times New Roman"/>
                <w:color w:val="000000"/>
              </w:rPr>
            </w:pPr>
          </w:p>
        </w:tc>
        <w:tc>
          <w:tcPr>
            <w:tcW w:w="990" w:type="dxa"/>
            <w:tcBorders>
              <w:top w:val="nil"/>
              <w:left w:val="nil"/>
              <w:bottom w:val="nil"/>
              <w:right w:val="nil"/>
            </w:tcBorders>
            <w:shd w:val="clear" w:color="auto" w:fill="auto"/>
            <w:noWrap/>
            <w:vAlign w:val="bottom"/>
            <w:hideMark/>
          </w:tcPr>
          <w:p w14:paraId="061DE2D0" w14:textId="77777777" w:rsidR="00A14A03" w:rsidRPr="00670396" w:rsidRDefault="00A14A03" w:rsidP="00AE2262">
            <w:pPr>
              <w:rPr>
                <w:rFonts w:ascii="Times New Roman" w:eastAsia="Times New Roman" w:hAnsi="Times New Roman" w:cs="Times New Roman"/>
                <w:color w:val="000000"/>
              </w:rPr>
            </w:pPr>
          </w:p>
        </w:tc>
      </w:tr>
      <w:tr w:rsidR="00A14A03" w:rsidRPr="00062EAD" w14:paraId="4B5CED37" w14:textId="77777777" w:rsidTr="00AE2262">
        <w:trPr>
          <w:trHeight w:val="300"/>
        </w:trPr>
        <w:tc>
          <w:tcPr>
            <w:tcW w:w="915" w:type="dxa"/>
            <w:tcBorders>
              <w:top w:val="nil"/>
              <w:left w:val="nil"/>
              <w:bottom w:val="nil"/>
              <w:right w:val="nil"/>
            </w:tcBorders>
            <w:shd w:val="clear" w:color="auto" w:fill="auto"/>
            <w:noWrap/>
            <w:vAlign w:val="bottom"/>
            <w:hideMark/>
          </w:tcPr>
          <w:p w14:paraId="7B515BCD" w14:textId="77777777" w:rsidR="00A14A03" w:rsidRPr="00062EAD" w:rsidRDefault="00A14A03" w:rsidP="00AE2262">
            <w:pPr>
              <w:spacing w:after="200" w:line="276" w:lineRule="auto"/>
              <w:rPr>
                <w:rFonts w:ascii="Times New Roman" w:eastAsia="Times New Roman" w:hAnsi="Times New Roman" w:cs="Times New Roman"/>
                <w:color w:val="000000"/>
                <w:sz w:val="22"/>
                <w:szCs w:val="22"/>
                <w:shd w:val="clear" w:color="auto" w:fill="FFFFFF"/>
              </w:rPr>
            </w:pPr>
            <w:r w:rsidRPr="00062EAD">
              <w:rPr>
                <w:rFonts w:ascii="Times New Roman" w:eastAsia="Times New Roman" w:hAnsi="Times New Roman" w:cs="Times New Roman"/>
                <w:color w:val="000000"/>
                <w:sz w:val="22"/>
                <w:szCs w:val="22"/>
                <w:shd w:val="clear" w:color="auto" w:fill="FFFFFF"/>
              </w:rPr>
              <w:t>73</w:t>
            </w:r>
          </w:p>
        </w:tc>
        <w:tc>
          <w:tcPr>
            <w:tcW w:w="4500" w:type="dxa"/>
            <w:tcBorders>
              <w:top w:val="nil"/>
              <w:left w:val="nil"/>
              <w:bottom w:val="nil"/>
              <w:right w:val="nil"/>
            </w:tcBorders>
            <w:shd w:val="clear" w:color="auto" w:fill="auto"/>
            <w:noWrap/>
            <w:vAlign w:val="bottom"/>
            <w:hideMark/>
          </w:tcPr>
          <w:p w14:paraId="7B3BB5B0" w14:textId="77777777" w:rsidR="00A14A03" w:rsidRPr="00062EAD" w:rsidRDefault="00A14A03" w:rsidP="00AE2262">
            <w:pPr>
              <w:spacing w:after="200" w:line="276" w:lineRule="auto"/>
              <w:rPr>
                <w:rFonts w:ascii="Times New Roman" w:eastAsia="Times New Roman" w:hAnsi="Times New Roman" w:cs="Times New Roman"/>
                <w:color w:val="000000"/>
                <w:sz w:val="22"/>
                <w:szCs w:val="22"/>
                <w:shd w:val="clear" w:color="auto" w:fill="FFFFFF"/>
              </w:rPr>
            </w:pPr>
            <w:r w:rsidRPr="00062EAD">
              <w:rPr>
                <w:rFonts w:ascii="Times New Roman" w:eastAsia="Times New Roman" w:hAnsi="Times New Roman" w:cs="Times New Roman"/>
                <w:color w:val="000000"/>
                <w:sz w:val="22"/>
                <w:szCs w:val="22"/>
                <w:shd w:val="clear" w:color="auto" w:fill="FFFFFF"/>
              </w:rPr>
              <w:t>Business Services</w:t>
            </w:r>
          </w:p>
        </w:tc>
        <w:tc>
          <w:tcPr>
            <w:tcW w:w="1165" w:type="dxa"/>
            <w:tcBorders>
              <w:top w:val="nil"/>
              <w:left w:val="nil"/>
              <w:bottom w:val="nil"/>
              <w:right w:val="nil"/>
            </w:tcBorders>
            <w:shd w:val="clear" w:color="auto" w:fill="auto"/>
            <w:noWrap/>
            <w:vAlign w:val="bottom"/>
            <w:hideMark/>
          </w:tcPr>
          <w:p w14:paraId="3CB628A2" w14:textId="77777777" w:rsidR="00A14A03" w:rsidRPr="00062EAD" w:rsidRDefault="00A14A03" w:rsidP="00AE2262">
            <w:pPr>
              <w:spacing w:after="200" w:line="276" w:lineRule="auto"/>
              <w:rPr>
                <w:rFonts w:ascii="Times New Roman" w:eastAsia="Times New Roman" w:hAnsi="Times New Roman" w:cs="Times New Roman"/>
                <w:color w:val="000000"/>
                <w:sz w:val="22"/>
                <w:szCs w:val="22"/>
                <w:shd w:val="clear" w:color="auto" w:fill="FFFFFF"/>
              </w:rPr>
            </w:pPr>
            <w:r w:rsidRPr="00062EAD">
              <w:rPr>
                <w:rFonts w:ascii="Times New Roman" w:eastAsia="Times New Roman" w:hAnsi="Times New Roman" w:cs="Times New Roman"/>
                <w:color w:val="000000"/>
                <w:sz w:val="22"/>
                <w:szCs w:val="22"/>
                <w:shd w:val="clear" w:color="auto" w:fill="FFFFFF"/>
              </w:rPr>
              <w:t>161</w:t>
            </w:r>
          </w:p>
        </w:tc>
        <w:tc>
          <w:tcPr>
            <w:tcW w:w="1322" w:type="dxa"/>
            <w:tcBorders>
              <w:top w:val="nil"/>
              <w:left w:val="nil"/>
              <w:bottom w:val="nil"/>
              <w:right w:val="nil"/>
            </w:tcBorders>
            <w:shd w:val="clear" w:color="auto" w:fill="auto"/>
            <w:noWrap/>
            <w:vAlign w:val="bottom"/>
            <w:hideMark/>
          </w:tcPr>
          <w:p w14:paraId="3341A6E5" w14:textId="77777777" w:rsidR="00A14A03" w:rsidRPr="00062EAD" w:rsidRDefault="00A14A03" w:rsidP="00AE2262">
            <w:pPr>
              <w:spacing w:after="200" w:line="276" w:lineRule="auto"/>
              <w:rPr>
                <w:rFonts w:ascii="Times New Roman" w:eastAsia="Times New Roman" w:hAnsi="Times New Roman" w:cs="Times New Roman"/>
                <w:color w:val="000000"/>
                <w:sz w:val="22"/>
                <w:szCs w:val="22"/>
                <w:shd w:val="clear" w:color="auto" w:fill="FFFFFF"/>
              </w:rPr>
            </w:pPr>
            <w:r w:rsidRPr="00062EAD">
              <w:rPr>
                <w:rFonts w:ascii="Times New Roman" w:eastAsia="Times New Roman" w:hAnsi="Times New Roman" w:cs="Times New Roman"/>
                <w:color w:val="000000"/>
                <w:sz w:val="22"/>
                <w:szCs w:val="22"/>
                <w:shd w:val="clear" w:color="auto" w:fill="FFFFFF"/>
              </w:rPr>
              <w:t>638,782</w:t>
            </w:r>
          </w:p>
        </w:tc>
        <w:tc>
          <w:tcPr>
            <w:tcW w:w="1350" w:type="dxa"/>
            <w:tcBorders>
              <w:top w:val="nil"/>
              <w:left w:val="nil"/>
              <w:bottom w:val="nil"/>
              <w:right w:val="nil"/>
            </w:tcBorders>
            <w:shd w:val="clear" w:color="auto" w:fill="auto"/>
            <w:noWrap/>
            <w:vAlign w:val="bottom"/>
            <w:hideMark/>
          </w:tcPr>
          <w:p w14:paraId="78AC6313" w14:textId="77777777" w:rsidR="00A14A03" w:rsidRPr="00062EAD" w:rsidRDefault="00A14A03" w:rsidP="00AE2262">
            <w:pPr>
              <w:spacing w:after="200" w:line="276" w:lineRule="auto"/>
              <w:rPr>
                <w:rFonts w:ascii="Times New Roman" w:eastAsia="Times New Roman" w:hAnsi="Times New Roman" w:cs="Times New Roman"/>
                <w:color w:val="000000"/>
                <w:sz w:val="22"/>
                <w:szCs w:val="22"/>
                <w:shd w:val="clear" w:color="auto" w:fill="FFFFFF"/>
              </w:rPr>
            </w:pPr>
            <w:r w:rsidRPr="00062EAD">
              <w:rPr>
                <w:rFonts w:ascii="Times New Roman" w:eastAsia="Times New Roman" w:hAnsi="Times New Roman" w:cs="Times New Roman"/>
                <w:color w:val="000000"/>
                <w:sz w:val="22"/>
                <w:szCs w:val="22"/>
                <w:shd w:val="clear" w:color="auto" w:fill="FFFFFF"/>
              </w:rPr>
              <w:t>190,000</w:t>
            </w:r>
          </w:p>
        </w:tc>
        <w:tc>
          <w:tcPr>
            <w:tcW w:w="810" w:type="dxa"/>
            <w:tcBorders>
              <w:top w:val="nil"/>
              <w:left w:val="nil"/>
              <w:bottom w:val="nil"/>
              <w:right w:val="nil"/>
            </w:tcBorders>
            <w:shd w:val="clear" w:color="auto" w:fill="auto"/>
            <w:noWrap/>
            <w:vAlign w:val="bottom"/>
            <w:hideMark/>
          </w:tcPr>
          <w:p w14:paraId="0861BF79" w14:textId="77777777" w:rsidR="00A14A03" w:rsidRPr="00062EAD" w:rsidRDefault="00A14A03" w:rsidP="00AE2262">
            <w:pPr>
              <w:spacing w:after="200" w:line="276" w:lineRule="auto"/>
              <w:rPr>
                <w:rFonts w:ascii="Times New Roman" w:eastAsia="Times New Roman" w:hAnsi="Times New Roman" w:cs="Times New Roman"/>
                <w:color w:val="000000"/>
                <w:sz w:val="22"/>
                <w:szCs w:val="22"/>
                <w:shd w:val="clear" w:color="auto" w:fill="FFFFFF"/>
              </w:rPr>
            </w:pPr>
            <w:r w:rsidRPr="00062EAD">
              <w:rPr>
                <w:rFonts w:ascii="Times New Roman" w:eastAsia="Times New Roman" w:hAnsi="Times New Roman" w:cs="Times New Roman"/>
                <w:color w:val="000000"/>
                <w:sz w:val="22"/>
                <w:szCs w:val="22"/>
                <w:shd w:val="clear" w:color="auto" w:fill="FFFFFF"/>
              </w:rPr>
              <w:t>9.9</w:t>
            </w:r>
          </w:p>
        </w:tc>
        <w:tc>
          <w:tcPr>
            <w:tcW w:w="990" w:type="dxa"/>
            <w:tcBorders>
              <w:top w:val="nil"/>
              <w:left w:val="nil"/>
              <w:bottom w:val="nil"/>
              <w:right w:val="nil"/>
            </w:tcBorders>
            <w:shd w:val="clear" w:color="auto" w:fill="auto"/>
            <w:noWrap/>
            <w:vAlign w:val="bottom"/>
            <w:hideMark/>
          </w:tcPr>
          <w:p w14:paraId="28FB4A44" w14:textId="77777777" w:rsidR="00A14A03" w:rsidRPr="00062EAD" w:rsidRDefault="00A14A03" w:rsidP="00AE2262">
            <w:pPr>
              <w:spacing w:after="200" w:line="276" w:lineRule="auto"/>
              <w:rPr>
                <w:rFonts w:ascii="Times New Roman" w:eastAsia="Times New Roman" w:hAnsi="Times New Roman" w:cs="Times New Roman"/>
                <w:color w:val="000000"/>
                <w:sz w:val="22"/>
                <w:szCs w:val="22"/>
                <w:shd w:val="clear" w:color="auto" w:fill="FFFFFF"/>
              </w:rPr>
            </w:pPr>
            <w:r w:rsidRPr="00062EAD">
              <w:rPr>
                <w:rFonts w:ascii="Times New Roman" w:eastAsia="Times New Roman" w:hAnsi="Times New Roman" w:cs="Times New Roman"/>
                <w:color w:val="000000"/>
                <w:sz w:val="22"/>
                <w:szCs w:val="22"/>
                <w:shd w:val="clear" w:color="auto" w:fill="FFFFFF"/>
              </w:rPr>
              <w:t>9.0</w:t>
            </w:r>
          </w:p>
        </w:tc>
      </w:tr>
      <w:tr w:rsidR="00A14A03" w:rsidRPr="00062EAD" w14:paraId="0DB72C20" w14:textId="77777777" w:rsidTr="00AE2262">
        <w:trPr>
          <w:trHeight w:val="300"/>
        </w:trPr>
        <w:tc>
          <w:tcPr>
            <w:tcW w:w="915" w:type="dxa"/>
            <w:tcBorders>
              <w:top w:val="nil"/>
              <w:left w:val="nil"/>
              <w:bottom w:val="nil"/>
              <w:right w:val="nil"/>
            </w:tcBorders>
            <w:shd w:val="clear" w:color="auto" w:fill="auto"/>
            <w:noWrap/>
            <w:vAlign w:val="bottom"/>
            <w:hideMark/>
          </w:tcPr>
          <w:p w14:paraId="47054101" w14:textId="77777777" w:rsidR="00A14A03" w:rsidRPr="00062EAD" w:rsidRDefault="00A14A03" w:rsidP="00AE2262">
            <w:pPr>
              <w:spacing w:after="200" w:line="276" w:lineRule="auto"/>
              <w:rPr>
                <w:rFonts w:ascii="Times New Roman" w:eastAsia="Times New Roman" w:hAnsi="Times New Roman" w:cs="Times New Roman"/>
                <w:color w:val="000000"/>
                <w:sz w:val="22"/>
                <w:szCs w:val="22"/>
                <w:shd w:val="clear" w:color="auto" w:fill="FFFFFF"/>
              </w:rPr>
            </w:pPr>
            <w:r w:rsidRPr="00062EAD">
              <w:rPr>
                <w:rFonts w:ascii="Times New Roman" w:eastAsia="Times New Roman" w:hAnsi="Times New Roman" w:cs="Times New Roman"/>
                <w:color w:val="000000"/>
                <w:sz w:val="22"/>
                <w:szCs w:val="22"/>
                <w:shd w:val="clear" w:color="auto" w:fill="FFFFFF"/>
              </w:rPr>
              <w:t>28</w:t>
            </w:r>
          </w:p>
        </w:tc>
        <w:tc>
          <w:tcPr>
            <w:tcW w:w="4500" w:type="dxa"/>
            <w:tcBorders>
              <w:top w:val="nil"/>
              <w:left w:val="nil"/>
              <w:bottom w:val="nil"/>
              <w:right w:val="nil"/>
            </w:tcBorders>
            <w:shd w:val="clear" w:color="auto" w:fill="auto"/>
            <w:noWrap/>
            <w:vAlign w:val="bottom"/>
            <w:hideMark/>
          </w:tcPr>
          <w:p w14:paraId="2F9B9E07" w14:textId="77777777" w:rsidR="00A14A03" w:rsidRPr="00062EAD" w:rsidRDefault="00A14A03" w:rsidP="00AE2262">
            <w:pPr>
              <w:spacing w:after="200" w:line="276" w:lineRule="auto"/>
              <w:rPr>
                <w:rFonts w:ascii="Times New Roman" w:eastAsia="Times New Roman" w:hAnsi="Times New Roman" w:cs="Times New Roman"/>
                <w:color w:val="000000"/>
                <w:sz w:val="22"/>
                <w:szCs w:val="22"/>
                <w:shd w:val="clear" w:color="auto" w:fill="FFFFFF"/>
              </w:rPr>
            </w:pPr>
            <w:r w:rsidRPr="00062EAD">
              <w:rPr>
                <w:rFonts w:ascii="Times New Roman" w:eastAsia="Times New Roman" w:hAnsi="Times New Roman" w:cs="Times New Roman"/>
                <w:color w:val="000000"/>
                <w:sz w:val="22"/>
                <w:szCs w:val="22"/>
                <w:shd w:val="clear" w:color="auto" w:fill="FFFFFF"/>
              </w:rPr>
              <w:t>Chemical &amp; Allied Products</w:t>
            </w:r>
          </w:p>
        </w:tc>
        <w:tc>
          <w:tcPr>
            <w:tcW w:w="1165" w:type="dxa"/>
            <w:tcBorders>
              <w:top w:val="nil"/>
              <w:left w:val="nil"/>
              <w:bottom w:val="nil"/>
              <w:right w:val="nil"/>
            </w:tcBorders>
            <w:shd w:val="clear" w:color="auto" w:fill="auto"/>
            <w:noWrap/>
            <w:vAlign w:val="bottom"/>
            <w:hideMark/>
          </w:tcPr>
          <w:p w14:paraId="000A4425" w14:textId="77777777" w:rsidR="00A14A03" w:rsidRPr="00062EAD" w:rsidRDefault="00A14A03" w:rsidP="00AE2262">
            <w:pPr>
              <w:spacing w:after="200" w:line="276" w:lineRule="auto"/>
              <w:rPr>
                <w:rFonts w:ascii="Times New Roman" w:eastAsia="Times New Roman" w:hAnsi="Times New Roman" w:cs="Times New Roman"/>
                <w:color w:val="000000"/>
                <w:sz w:val="22"/>
                <w:szCs w:val="22"/>
                <w:shd w:val="clear" w:color="auto" w:fill="FFFFFF"/>
              </w:rPr>
            </w:pPr>
            <w:r w:rsidRPr="00062EAD">
              <w:rPr>
                <w:rFonts w:ascii="Times New Roman" w:eastAsia="Times New Roman" w:hAnsi="Times New Roman" w:cs="Times New Roman"/>
                <w:color w:val="000000"/>
                <w:sz w:val="22"/>
                <w:szCs w:val="22"/>
                <w:shd w:val="clear" w:color="auto" w:fill="FFFFFF"/>
              </w:rPr>
              <w:t>145</w:t>
            </w:r>
          </w:p>
        </w:tc>
        <w:tc>
          <w:tcPr>
            <w:tcW w:w="1322" w:type="dxa"/>
            <w:tcBorders>
              <w:top w:val="nil"/>
              <w:left w:val="nil"/>
              <w:bottom w:val="nil"/>
              <w:right w:val="nil"/>
            </w:tcBorders>
            <w:shd w:val="clear" w:color="auto" w:fill="auto"/>
            <w:noWrap/>
            <w:vAlign w:val="bottom"/>
            <w:hideMark/>
          </w:tcPr>
          <w:p w14:paraId="24E4EB80" w14:textId="77777777" w:rsidR="00A14A03" w:rsidRPr="00062EAD" w:rsidRDefault="00A14A03" w:rsidP="00AE2262">
            <w:pPr>
              <w:spacing w:after="200" w:line="276" w:lineRule="auto"/>
              <w:rPr>
                <w:rFonts w:ascii="Times New Roman" w:eastAsia="Times New Roman" w:hAnsi="Times New Roman" w:cs="Times New Roman"/>
                <w:color w:val="000000"/>
                <w:sz w:val="22"/>
                <w:szCs w:val="22"/>
                <w:shd w:val="clear" w:color="auto" w:fill="FFFFFF"/>
              </w:rPr>
            </w:pPr>
            <w:r w:rsidRPr="00062EAD">
              <w:rPr>
                <w:rFonts w:ascii="Times New Roman" w:eastAsia="Times New Roman" w:hAnsi="Times New Roman" w:cs="Times New Roman"/>
                <w:color w:val="000000"/>
                <w:sz w:val="22"/>
                <w:szCs w:val="22"/>
                <w:shd w:val="clear" w:color="auto" w:fill="FFFFFF"/>
              </w:rPr>
              <w:t>375,157</w:t>
            </w:r>
          </w:p>
        </w:tc>
        <w:tc>
          <w:tcPr>
            <w:tcW w:w="1350" w:type="dxa"/>
            <w:tcBorders>
              <w:top w:val="nil"/>
              <w:left w:val="nil"/>
              <w:bottom w:val="nil"/>
              <w:right w:val="nil"/>
            </w:tcBorders>
            <w:shd w:val="clear" w:color="auto" w:fill="auto"/>
            <w:noWrap/>
            <w:vAlign w:val="bottom"/>
            <w:hideMark/>
          </w:tcPr>
          <w:p w14:paraId="7D2B5FD8" w14:textId="77777777" w:rsidR="00A14A03" w:rsidRPr="00062EAD" w:rsidRDefault="00A14A03" w:rsidP="00AE2262">
            <w:pPr>
              <w:spacing w:after="200" w:line="276" w:lineRule="auto"/>
              <w:rPr>
                <w:rFonts w:ascii="Times New Roman" w:eastAsia="Times New Roman" w:hAnsi="Times New Roman" w:cs="Times New Roman"/>
                <w:color w:val="000000"/>
                <w:sz w:val="22"/>
                <w:szCs w:val="22"/>
                <w:shd w:val="clear" w:color="auto" w:fill="FFFFFF"/>
              </w:rPr>
            </w:pPr>
            <w:r w:rsidRPr="00062EAD">
              <w:rPr>
                <w:rFonts w:ascii="Times New Roman" w:eastAsia="Times New Roman" w:hAnsi="Times New Roman" w:cs="Times New Roman"/>
                <w:color w:val="000000"/>
                <w:sz w:val="22"/>
                <w:szCs w:val="22"/>
                <w:shd w:val="clear" w:color="auto" w:fill="FFFFFF"/>
              </w:rPr>
              <w:t>180,000</w:t>
            </w:r>
          </w:p>
        </w:tc>
        <w:tc>
          <w:tcPr>
            <w:tcW w:w="810" w:type="dxa"/>
            <w:tcBorders>
              <w:top w:val="nil"/>
              <w:left w:val="nil"/>
              <w:bottom w:val="nil"/>
              <w:right w:val="nil"/>
            </w:tcBorders>
            <w:shd w:val="clear" w:color="auto" w:fill="auto"/>
            <w:noWrap/>
            <w:vAlign w:val="bottom"/>
            <w:hideMark/>
          </w:tcPr>
          <w:p w14:paraId="0408E0DA" w14:textId="77777777" w:rsidR="00A14A03" w:rsidRPr="00062EAD" w:rsidRDefault="00A14A03" w:rsidP="00AE2262">
            <w:pPr>
              <w:spacing w:after="200" w:line="276" w:lineRule="auto"/>
              <w:rPr>
                <w:rFonts w:ascii="Times New Roman" w:eastAsia="Times New Roman" w:hAnsi="Times New Roman" w:cs="Times New Roman"/>
                <w:color w:val="000000"/>
                <w:sz w:val="22"/>
                <w:szCs w:val="22"/>
                <w:shd w:val="clear" w:color="auto" w:fill="FFFFFF"/>
              </w:rPr>
            </w:pPr>
            <w:r w:rsidRPr="00062EAD">
              <w:rPr>
                <w:rFonts w:ascii="Times New Roman" w:eastAsia="Times New Roman" w:hAnsi="Times New Roman" w:cs="Times New Roman"/>
                <w:color w:val="000000"/>
                <w:sz w:val="22"/>
                <w:szCs w:val="22"/>
                <w:shd w:val="clear" w:color="auto" w:fill="FFFFFF"/>
              </w:rPr>
              <w:t>507.1</w:t>
            </w:r>
          </w:p>
        </w:tc>
        <w:tc>
          <w:tcPr>
            <w:tcW w:w="990" w:type="dxa"/>
            <w:tcBorders>
              <w:top w:val="nil"/>
              <w:left w:val="nil"/>
              <w:bottom w:val="nil"/>
              <w:right w:val="nil"/>
            </w:tcBorders>
            <w:shd w:val="clear" w:color="auto" w:fill="auto"/>
            <w:noWrap/>
            <w:vAlign w:val="bottom"/>
            <w:hideMark/>
          </w:tcPr>
          <w:p w14:paraId="63A6B694" w14:textId="77777777" w:rsidR="00A14A03" w:rsidRPr="00062EAD" w:rsidRDefault="00A14A03" w:rsidP="00AE2262">
            <w:pPr>
              <w:spacing w:after="200" w:line="276" w:lineRule="auto"/>
              <w:rPr>
                <w:rFonts w:ascii="Times New Roman" w:eastAsia="Times New Roman" w:hAnsi="Times New Roman" w:cs="Times New Roman"/>
                <w:color w:val="000000"/>
                <w:sz w:val="22"/>
                <w:szCs w:val="22"/>
                <w:shd w:val="clear" w:color="auto" w:fill="FFFFFF"/>
              </w:rPr>
            </w:pPr>
            <w:r w:rsidRPr="00062EAD">
              <w:rPr>
                <w:rFonts w:ascii="Times New Roman" w:eastAsia="Times New Roman" w:hAnsi="Times New Roman" w:cs="Times New Roman"/>
                <w:color w:val="000000"/>
                <w:sz w:val="22"/>
                <w:szCs w:val="22"/>
                <w:shd w:val="clear" w:color="auto" w:fill="FFFFFF"/>
              </w:rPr>
              <w:t>33.5</w:t>
            </w:r>
          </w:p>
        </w:tc>
      </w:tr>
      <w:tr w:rsidR="00A14A03" w:rsidRPr="00062EAD" w14:paraId="35694B51" w14:textId="77777777" w:rsidTr="00AE2262">
        <w:trPr>
          <w:trHeight w:val="300"/>
        </w:trPr>
        <w:tc>
          <w:tcPr>
            <w:tcW w:w="915" w:type="dxa"/>
            <w:tcBorders>
              <w:top w:val="nil"/>
              <w:left w:val="nil"/>
              <w:bottom w:val="nil"/>
              <w:right w:val="nil"/>
            </w:tcBorders>
            <w:shd w:val="clear" w:color="auto" w:fill="auto"/>
            <w:noWrap/>
            <w:vAlign w:val="bottom"/>
            <w:hideMark/>
          </w:tcPr>
          <w:p w14:paraId="472491BB" w14:textId="77777777" w:rsidR="00A14A03" w:rsidRPr="00062EAD" w:rsidRDefault="00A14A03" w:rsidP="00AE2262">
            <w:pPr>
              <w:spacing w:after="200" w:line="276" w:lineRule="auto"/>
              <w:rPr>
                <w:rFonts w:ascii="Times New Roman" w:eastAsia="Times New Roman" w:hAnsi="Times New Roman" w:cs="Times New Roman"/>
                <w:color w:val="000000"/>
                <w:sz w:val="22"/>
                <w:szCs w:val="22"/>
                <w:shd w:val="clear" w:color="auto" w:fill="FFFFFF"/>
              </w:rPr>
            </w:pPr>
            <w:r w:rsidRPr="00062EAD">
              <w:rPr>
                <w:rFonts w:ascii="Times New Roman" w:eastAsia="Times New Roman" w:hAnsi="Times New Roman" w:cs="Times New Roman"/>
                <w:color w:val="000000"/>
                <w:sz w:val="22"/>
                <w:szCs w:val="22"/>
                <w:shd w:val="clear" w:color="auto" w:fill="FFFFFF"/>
              </w:rPr>
              <w:t>38</w:t>
            </w:r>
          </w:p>
        </w:tc>
        <w:tc>
          <w:tcPr>
            <w:tcW w:w="4500" w:type="dxa"/>
            <w:tcBorders>
              <w:top w:val="nil"/>
              <w:left w:val="nil"/>
              <w:bottom w:val="nil"/>
              <w:right w:val="nil"/>
            </w:tcBorders>
            <w:shd w:val="clear" w:color="auto" w:fill="auto"/>
            <w:noWrap/>
            <w:vAlign w:val="bottom"/>
            <w:hideMark/>
          </w:tcPr>
          <w:p w14:paraId="60F77F0F" w14:textId="77777777" w:rsidR="00A14A03" w:rsidRPr="00062EAD" w:rsidRDefault="00A14A03" w:rsidP="00AE2262">
            <w:pPr>
              <w:spacing w:after="200" w:line="276" w:lineRule="auto"/>
              <w:rPr>
                <w:rFonts w:ascii="Times New Roman" w:eastAsia="Times New Roman" w:hAnsi="Times New Roman" w:cs="Times New Roman"/>
                <w:color w:val="000000"/>
                <w:sz w:val="22"/>
                <w:szCs w:val="22"/>
                <w:shd w:val="clear" w:color="auto" w:fill="FFFFFF"/>
              </w:rPr>
            </w:pPr>
            <w:r w:rsidRPr="00062EAD">
              <w:rPr>
                <w:rFonts w:ascii="Times New Roman" w:eastAsia="Times New Roman" w:hAnsi="Times New Roman" w:cs="Times New Roman"/>
                <w:color w:val="000000"/>
                <w:sz w:val="22"/>
                <w:szCs w:val="22"/>
                <w:shd w:val="clear" w:color="auto" w:fill="FFFFFF"/>
              </w:rPr>
              <w:t>Instruments &amp; Related Products</w:t>
            </w:r>
          </w:p>
        </w:tc>
        <w:tc>
          <w:tcPr>
            <w:tcW w:w="1165" w:type="dxa"/>
            <w:tcBorders>
              <w:top w:val="nil"/>
              <w:left w:val="nil"/>
              <w:bottom w:val="nil"/>
              <w:right w:val="nil"/>
            </w:tcBorders>
            <w:shd w:val="clear" w:color="auto" w:fill="auto"/>
            <w:noWrap/>
            <w:vAlign w:val="bottom"/>
            <w:hideMark/>
          </w:tcPr>
          <w:p w14:paraId="11D25145" w14:textId="77777777" w:rsidR="00A14A03" w:rsidRPr="00062EAD" w:rsidRDefault="00A14A03" w:rsidP="00AE2262">
            <w:pPr>
              <w:spacing w:after="200" w:line="276" w:lineRule="auto"/>
              <w:rPr>
                <w:rFonts w:ascii="Times New Roman" w:eastAsia="Times New Roman" w:hAnsi="Times New Roman" w:cs="Times New Roman"/>
                <w:color w:val="000000"/>
                <w:sz w:val="22"/>
                <w:szCs w:val="22"/>
                <w:shd w:val="clear" w:color="auto" w:fill="FFFFFF"/>
              </w:rPr>
            </w:pPr>
            <w:r w:rsidRPr="00062EAD">
              <w:rPr>
                <w:rFonts w:ascii="Times New Roman" w:eastAsia="Times New Roman" w:hAnsi="Times New Roman" w:cs="Times New Roman"/>
                <w:color w:val="000000"/>
                <w:sz w:val="22"/>
                <w:szCs w:val="22"/>
                <w:shd w:val="clear" w:color="auto" w:fill="FFFFFF"/>
              </w:rPr>
              <w:t>77</w:t>
            </w:r>
          </w:p>
        </w:tc>
        <w:tc>
          <w:tcPr>
            <w:tcW w:w="1322" w:type="dxa"/>
            <w:tcBorders>
              <w:top w:val="nil"/>
              <w:left w:val="nil"/>
              <w:bottom w:val="nil"/>
              <w:right w:val="nil"/>
            </w:tcBorders>
            <w:shd w:val="clear" w:color="auto" w:fill="auto"/>
            <w:noWrap/>
            <w:vAlign w:val="bottom"/>
            <w:hideMark/>
          </w:tcPr>
          <w:p w14:paraId="4C849058" w14:textId="77777777" w:rsidR="00A14A03" w:rsidRPr="00062EAD" w:rsidRDefault="00A14A03" w:rsidP="00AE2262">
            <w:pPr>
              <w:spacing w:after="200" w:line="276" w:lineRule="auto"/>
              <w:rPr>
                <w:rFonts w:ascii="Times New Roman" w:eastAsia="Times New Roman" w:hAnsi="Times New Roman" w:cs="Times New Roman"/>
                <w:color w:val="000000"/>
                <w:sz w:val="22"/>
                <w:szCs w:val="22"/>
                <w:shd w:val="clear" w:color="auto" w:fill="FFFFFF"/>
              </w:rPr>
            </w:pPr>
            <w:r w:rsidRPr="00062EAD">
              <w:rPr>
                <w:rFonts w:ascii="Times New Roman" w:eastAsia="Times New Roman" w:hAnsi="Times New Roman" w:cs="Times New Roman"/>
                <w:color w:val="000000"/>
                <w:sz w:val="22"/>
                <w:szCs w:val="22"/>
                <w:shd w:val="clear" w:color="auto" w:fill="FFFFFF"/>
              </w:rPr>
              <w:t>321,673</w:t>
            </w:r>
          </w:p>
        </w:tc>
        <w:tc>
          <w:tcPr>
            <w:tcW w:w="1350" w:type="dxa"/>
            <w:tcBorders>
              <w:top w:val="nil"/>
              <w:left w:val="nil"/>
              <w:bottom w:val="nil"/>
              <w:right w:val="nil"/>
            </w:tcBorders>
            <w:shd w:val="clear" w:color="auto" w:fill="auto"/>
            <w:noWrap/>
            <w:vAlign w:val="bottom"/>
            <w:hideMark/>
          </w:tcPr>
          <w:p w14:paraId="14A2565D" w14:textId="77777777" w:rsidR="00A14A03" w:rsidRPr="00062EAD" w:rsidRDefault="00A14A03" w:rsidP="00AE2262">
            <w:pPr>
              <w:spacing w:after="200" w:line="276" w:lineRule="auto"/>
              <w:rPr>
                <w:rFonts w:ascii="Times New Roman" w:eastAsia="Times New Roman" w:hAnsi="Times New Roman" w:cs="Times New Roman"/>
                <w:color w:val="000000"/>
                <w:sz w:val="22"/>
                <w:szCs w:val="22"/>
                <w:shd w:val="clear" w:color="auto" w:fill="FFFFFF"/>
              </w:rPr>
            </w:pPr>
            <w:r w:rsidRPr="00062EAD">
              <w:rPr>
                <w:rFonts w:ascii="Times New Roman" w:eastAsia="Times New Roman" w:hAnsi="Times New Roman" w:cs="Times New Roman"/>
                <w:color w:val="000000"/>
                <w:sz w:val="22"/>
                <w:szCs w:val="22"/>
                <w:shd w:val="clear" w:color="auto" w:fill="FFFFFF"/>
              </w:rPr>
              <w:t>120,000</w:t>
            </w:r>
          </w:p>
        </w:tc>
        <w:tc>
          <w:tcPr>
            <w:tcW w:w="810" w:type="dxa"/>
            <w:tcBorders>
              <w:top w:val="nil"/>
              <w:left w:val="nil"/>
              <w:bottom w:val="nil"/>
              <w:right w:val="nil"/>
            </w:tcBorders>
            <w:shd w:val="clear" w:color="auto" w:fill="auto"/>
            <w:noWrap/>
            <w:vAlign w:val="bottom"/>
            <w:hideMark/>
          </w:tcPr>
          <w:p w14:paraId="32D7F1D2" w14:textId="77777777" w:rsidR="00A14A03" w:rsidRPr="00062EAD" w:rsidRDefault="00A14A03" w:rsidP="00AE2262">
            <w:pPr>
              <w:spacing w:after="200" w:line="276" w:lineRule="auto"/>
              <w:rPr>
                <w:rFonts w:ascii="Times New Roman" w:eastAsia="Times New Roman" w:hAnsi="Times New Roman" w:cs="Times New Roman"/>
                <w:color w:val="000000"/>
                <w:sz w:val="22"/>
                <w:szCs w:val="22"/>
                <w:shd w:val="clear" w:color="auto" w:fill="FFFFFF"/>
              </w:rPr>
            </w:pPr>
            <w:r w:rsidRPr="00062EAD">
              <w:rPr>
                <w:rFonts w:ascii="Times New Roman" w:eastAsia="Times New Roman" w:hAnsi="Times New Roman" w:cs="Times New Roman"/>
                <w:color w:val="000000"/>
                <w:sz w:val="22"/>
                <w:szCs w:val="22"/>
                <w:shd w:val="clear" w:color="auto" w:fill="FFFFFF"/>
              </w:rPr>
              <w:t>25.9</w:t>
            </w:r>
          </w:p>
        </w:tc>
        <w:tc>
          <w:tcPr>
            <w:tcW w:w="990" w:type="dxa"/>
            <w:tcBorders>
              <w:top w:val="nil"/>
              <w:left w:val="nil"/>
              <w:bottom w:val="nil"/>
              <w:right w:val="nil"/>
            </w:tcBorders>
            <w:shd w:val="clear" w:color="auto" w:fill="auto"/>
            <w:noWrap/>
            <w:vAlign w:val="bottom"/>
            <w:hideMark/>
          </w:tcPr>
          <w:p w14:paraId="2164DC6F" w14:textId="77777777" w:rsidR="00A14A03" w:rsidRPr="00062EAD" w:rsidRDefault="00A14A03" w:rsidP="00AE2262">
            <w:pPr>
              <w:spacing w:after="200" w:line="276" w:lineRule="auto"/>
              <w:rPr>
                <w:rFonts w:ascii="Times New Roman" w:eastAsia="Times New Roman" w:hAnsi="Times New Roman" w:cs="Times New Roman"/>
                <w:color w:val="000000"/>
                <w:sz w:val="22"/>
                <w:szCs w:val="22"/>
                <w:shd w:val="clear" w:color="auto" w:fill="FFFFFF"/>
              </w:rPr>
            </w:pPr>
            <w:r w:rsidRPr="00062EAD">
              <w:rPr>
                <w:rFonts w:ascii="Times New Roman" w:eastAsia="Times New Roman" w:hAnsi="Times New Roman" w:cs="Times New Roman"/>
                <w:color w:val="000000"/>
                <w:sz w:val="22"/>
                <w:szCs w:val="22"/>
                <w:shd w:val="clear" w:color="auto" w:fill="FFFFFF"/>
              </w:rPr>
              <w:t>13.2</w:t>
            </w:r>
          </w:p>
        </w:tc>
      </w:tr>
      <w:tr w:rsidR="00A14A03" w:rsidRPr="00062EAD" w14:paraId="1E1D1EAD" w14:textId="77777777" w:rsidTr="00AE2262">
        <w:trPr>
          <w:trHeight w:val="300"/>
        </w:trPr>
        <w:tc>
          <w:tcPr>
            <w:tcW w:w="915" w:type="dxa"/>
            <w:tcBorders>
              <w:top w:val="nil"/>
              <w:left w:val="nil"/>
              <w:bottom w:val="nil"/>
              <w:right w:val="nil"/>
            </w:tcBorders>
            <w:shd w:val="clear" w:color="auto" w:fill="auto"/>
            <w:noWrap/>
            <w:vAlign w:val="bottom"/>
            <w:hideMark/>
          </w:tcPr>
          <w:p w14:paraId="237B36B9" w14:textId="77777777" w:rsidR="00A14A03" w:rsidRPr="00062EAD" w:rsidRDefault="00A14A03" w:rsidP="00AE2262">
            <w:pPr>
              <w:spacing w:after="200" w:line="276" w:lineRule="auto"/>
              <w:rPr>
                <w:rFonts w:ascii="Times New Roman" w:eastAsia="Times New Roman" w:hAnsi="Times New Roman" w:cs="Times New Roman"/>
                <w:color w:val="000000"/>
                <w:sz w:val="22"/>
                <w:szCs w:val="22"/>
                <w:shd w:val="clear" w:color="auto" w:fill="FFFFFF"/>
              </w:rPr>
            </w:pPr>
            <w:r w:rsidRPr="00062EAD">
              <w:rPr>
                <w:rFonts w:ascii="Times New Roman" w:eastAsia="Times New Roman" w:hAnsi="Times New Roman" w:cs="Times New Roman"/>
                <w:color w:val="000000"/>
                <w:sz w:val="22"/>
                <w:szCs w:val="22"/>
                <w:shd w:val="clear" w:color="auto" w:fill="FFFFFF"/>
              </w:rPr>
              <w:t>48</w:t>
            </w:r>
          </w:p>
        </w:tc>
        <w:tc>
          <w:tcPr>
            <w:tcW w:w="4500" w:type="dxa"/>
            <w:tcBorders>
              <w:top w:val="nil"/>
              <w:left w:val="nil"/>
              <w:bottom w:val="nil"/>
              <w:right w:val="nil"/>
            </w:tcBorders>
            <w:shd w:val="clear" w:color="auto" w:fill="auto"/>
            <w:noWrap/>
            <w:vAlign w:val="bottom"/>
            <w:hideMark/>
          </w:tcPr>
          <w:p w14:paraId="48EF17F2" w14:textId="77777777" w:rsidR="00A14A03" w:rsidRPr="00062EAD" w:rsidRDefault="00A14A03" w:rsidP="00AE2262">
            <w:pPr>
              <w:spacing w:after="200" w:line="276" w:lineRule="auto"/>
              <w:rPr>
                <w:rFonts w:ascii="Times New Roman" w:eastAsia="Times New Roman" w:hAnsi="Times New Roman" w:cs="Times New Roman"/>
                <w:color w:val="000000"/>
                <w:sz w:val="22"/>
                <w:szCs w:val="22"/>
                <w:shd w:val="clear" w:color="auto" w:fill="FFFFFF"/>
              </w:rPr>
            </w:pPr>
            <w:r w:rsidRPr="00062EAD">
              <w:rPr>
                <w:rFonts w:ascii="Times New Roman" w:eastAsia="Times New Roman" w:hAnsi="Times New Roman" w:cs="Times New Roman"/>
                <w:color w:val="000000"/>
                <w:sz w:val="22"/>
                <w:szCs w:val="22"/>
                <w:shd w:val="clear" w:color="auto" w:fill="FFFFFF"/>
              </w:rPr>
              <w:t>Communications</w:t>
            </w:r>
          </w:p>
        </w:tc>
        <w:tc>
          <w:tcPr>
            <w:tcW w:w="1165" w:type="dxa"/>
            <w:tcBorders>
              <w:top w:val="nil"/>
              <w:left w:val="nil"/>
              <w:bottom w:val="nil"/>
              <w:right w:val="nil"/>
            </w:tcBorders>
            <w:shd w:val="clear" w:color="auto" w:fill="auto"/>
            <w:noWrap/>
            <w:vAlign w:val="bottom"/>
            <w:hideMark/>
          </w:tcPr>
          <w:p w14:paraId="1776765C" w14:textId="77777777" w:rsidR="00A14A03" w:rsidRPr="00062EAD" w:rsidRDefault="00A14A03" w:rsidP="00AE2262">
            <w:pPr>
              <w:spacing w:after="200" w:line="276" w:lineRule="auto"/>
              <w:rPr>
                <w:rFonts w:ascii="Times New Roman" w:eastAsia="Times New Roman" w:hAnsi="Times New Roman" w:cs="Times New Roman"/>
                <w:color w:val="000000"/>
                <w:sz w:val="22"/>
                <w:szCs w:val="22"/>
                <w:shd w:val="clear" w:color="auto" w:fill="FFFFFF"/>
              </w:rPr>
            </w:pPr>
            <w:r w:rsidRPr="00062EAD">
              <w:rPr>
                <w:rFonts w:ascii="Times New Roman" w:eastAsia="Times New Roman" w:hAnsi="Times New Roman" w:cs="Times New Roman"/>
                <w:color w:val="000000"/>
                <w:sz w:val="22"/>
                <w:szCs w:val="22"/>
                <w:shd w:val="clear" w:color="auto" w:fill="FFFFFF"/>
              </w:rPr>
              <w:t>43</w:t>
            </w:r>
          </w:p>
        </w:tc>
        <w:tc>
          <w:tcPr>
            <w:tcW w:w="1322" w:type="dxa"/>
            <w:tcBorders>
              <w:top w:val="nil"/>
              <w:left w:val="nil"/>
              <w:bottom w:val="nil"/>
              <w:right w:val="nil"/>
            </w:tcBorders>
            <w:shd w:val="clear" w:color="auto" w:fill="auto"/>
            <w:noWrap/>
            <w:vAlign w:val="bottom"/>
            <w:hideMark/>
          </w:tcPr>
          <w:p w14:paraId="36A759ED" w14:textId="77777777" w:rsidR="00A14A03" w:rsidRPr="00062EAD" w:rsidRDefault="00A14A03" w:rsidP="00AE2262">
            <w:pPr>
              <w:spacing w:after="200" w:line="276" w:lineRule="auto"/>
              <w:rPr>
                <w:rFonts w:ascii="Times New Roman" w:eastAsia="Times New Roman" w:hAnsi="Times New Roman" w:cs="Times New Roman"/>
                <w:color w:val="000000"/>
                <w:sz w:val="22"/>
                <w:szCs w:val="22"/>
                <w:shd w:val="clear" w:color="auto" w:fill="FFFFFF"/>
              </w:rPr>
            </w:pPr>
            <w:r w:rsidRPr="00062EAD">
              <w:rPr>
                <w:rFonts w:ascii="Times New Roman" w:eastAsia="Times New Roman" w:hAnsi="Times New Roman" w:cs="Times New Roman"/>
                <w:color w:val="000000"/>
                <w:sz w:val="22"/>
                <w:szCs w:val="22"/>
                <w:shd w:val="clear" w:color="auto" w:fill="FFFFFF"/>
              </w:rPr>
              <w:t>246,837</w:t>
            </w:r>
          </w:p>
        </w:tc>
        <w:tc>
          <w:tcPr>
            <w:tcW w:w="1350" w:type="dxa"/>
            <w:tcBorders>
              <w:top w:val="nil"/>
              <w:left w:val="nil"/>
              <w:bottom w:val="nil"/>
              <w:right w:val="nil"/>
            </w:tcBorders>
            <w:shd w:val="clear" w:color="auto" w:fill="auto"/>
            <w:noWrap/>
            <w:vAlign w:val="bottom"/>
            <w:hideMark/>
          </w:tcPr>
          <w:p w14:paraId="4D319CE8" w14:textId="77777777" w:rsidR="00A14A03" w:rsidRPr="00062EAD" w:rsidRDefault="00A14A03" w:rsidP="00AE2262">
            <w:pPr>
              <w:spacing w:after="200" w:line="276" w:lineRule="auto"/>
              <w:rPr>
                <w:rFonts w:ascii="Times New Roman" w:eastAsia="Times New Roman" w:hAnsi="Times New Roman" w:cs="Times New Roman"/>
                <w:color w:val="000000"/>
                <w:sz w:val="22"/>
                <w:szCs w:val="22"/>
                <w:shd w:val="clear" w:color="auto" w:fill="FFFFFF"/>
              </w:rPr>
            </w:pPr>
            <w:r w:rsidRPr="00062EAD">
              <w:rPr>
                <w:rFonts w:ascii="Times New Roman" w:eastAsia="Times New Roman" w:hAnsi="Times New Roman" w:cs="Times New Roman"/>
                <w:color w:val="000000"/>
                <w:sz w:val="22"/>
                <w:szCs w:val="22"/>
                <w:shd w:val="clear" w:color="auto" w:fill="FFFFFF"/>
              </w:rPr>
              <w:t>150,000</w:t>
            </w:r>
          </w:p>
        </w:tc>
        <w:tc>
          <w:tcPr>
            <w:tcW w:w="810" w:type="dxa"/>
            <w:tcBorders>
              <w:top w:val="nil"/>
              <w:left w:val="nil"/>
              <w:bottom w:val="nil"/>
              <w:right w:val="nil"/>
            </w:tcBorders>
            <w:shd w:val="clear" w:color="auto" w:fill="auto"/>
            <w:noWrap/>
            <w:vAlign w:val="bottom"/>
            <w:hideMark/>
          </w:tcPr>
          <w:p w14:paraId="035D58E3" w14:textId="77777777" w:rsidR="00A14A03" w:rsidRPr="00062EAD" w:rsidRDefault="00A14A03" w:rsidP="00AE2262">
            <w:pPr>
              <w:spacing w:after="200" w:line="276" w:lineRule="auto"/>
              <w:rPr>
                <w:rFonts w:ascii="Times New Roman" w:eastAsia="Times New Roman" w:hAnsi="Times New Roman" w:cs="Times New Roman"/>
                <w:color w:val="000000"/>
                <w:sz w:val="22"/>
                <w:szCs w:val="22"/>
                <w:shd w:val="clear" w:color="auto" w:fill="FFFFFF"/>
              </w:rPr>
            </w:pPr>
            <w:r w:rsidRPr="00062EAD">
              <w:rPr>
                <w:rFonts w:ascii="Times New Roman" w:eastAsia="Times New Roman" w:hAnsi="Times New Roman" w:cs="Times New Roman"/>
                <w:color w:val="000000"/>
                <w:sz w:val="22"/>
                <w:szCs w:val="22"/>
                <w:shd w:val="clear" w:color="auto" w:fill="FFFFFF"/>
              </w:rPr>
              <w:t>10.4</w:t>
            </w:r>
          </w:p>
        </w:tc>
        <w:tc>
          <w:tcPr>
            <w:tcW w:w="990" w:type="dxa"/>
            <w:tcBorders>
              <w:top w:val="nil"/>
              <w:left w:val="nil"/>
              <w:bottom w:val="nil"/>
              <w:right w:val="nil"/>
            </w:tcBorders>
            <w:shd w:val="clear" w:color="auto" w:fill="auto"/>
            <w:noWrap/>
            <w:vAlign w:val="bottom"/>
            <w:hideMark/>
          </w:tcPr>
          <w:p w14:paraId="2F279F75" w14:textId="77777777" w:rsidR="00A14A03" w:rsidRPr="00062EAD" w:rsidRDefault="00A14A03" w:rsidP="00AE2262">
            <w:pPr>
              <w:spacing w:after="200" w:line="276" w:lineRule="auto"/>
              <w:rPr>
                <w:rFonts w:ascii="Times New Roman" w:eastAsia="Times New Roman" w:hAnsi="Times New Roman" w:cs="Times New Roman"/>
                <w:color w:val="000000"/>
                <w:sz w:val="22"/>
                <w:szCs w:val="22"/>
                <w:shd w:val="clear" w:color="auto" w:fill="FFFFFF"/>
              </w:rPr>
            </w:pPr>
            <w:r w:rsidRPr="00062EAD">
              <w:rPr>
                <w:rFonts w:ascii="Times New Roman" w:eastAsia="Times New Roman" w:hAnsi="Times New Roman" w:cs="Times New Roman"/>
                <w:color w:val="000000"/>
                <w:sz w:val="22"/>
                <w:szCs w:val="22"/>
                <w:shd w:val="clear" w:color="auto" w:fill="FFFFFF"/>
              </w:rPr>
              <w:t>5.3</w:t>
            </w:r>
          </w:p>
        </w:tc>
      </w:tr>
      <w:tr w:rsidR="00A14A03" w:rsidRPr="00062EAD" w14:paraId="27C63D2B" w14:textId="77777777" w:rsidTr="00AE2262">
        <w:trPr>
          <w:trHeight w:val="300"/>
        </w:trPr>
        <w:tc>
          <w:tcPr>
            <w:tcW w:w="915" w:type="dxa"/>
            <w:tcBorders>
              <w:top w:val="nil"/>
              <w:left w:val="nil"/>
              <w:bottom w:val="nil"/>
              <w:right w:val="nil"/>
            </w:tcBorders>
            <w:shd w:val="clear" w:color="auto" w:fill="auto"/>
            <w:noWrap/>
            <w:vAlign w:val="bottom"/>
            <w:hideMark/>
          </w:tcPr>
          <w:p w14:paraId="5E2E9E26" w14:textId="77777777" w:rsidR="00A14A03" w:rsidRPr="00062EAD" w:rsidRDefault="00A14A03" w:rsidP="00AE2262">
            <w:pPr>
              <w:spacing w:after="200" w:line="276" w:lineRule="auto"/>
              <w:rPr>
                <w:rFonts w:ascii="Times New Roman" w:eastAsia="Times New Roman" w:hAnsi="Times New Roman" w:cs="Times New Roman"/>
                <w:color w:val="000000"/>
                <w:sz w:val="22"/>
                <w:szCs w:val="22"/>
                <w:shd w:val="clear" w:color="auto" w:fill="FFFFFF"/>
              </w:rPr>
            </w:pPr>
            <w:r w:rsidRPr="00062EAD">
              <w:rPr>
                <w:rFonts w:ascii="Times New Roman" w:eastAsia="Times New Roman" w:hAnsi="Times New Roman" w:cs="Times New Roman"/>
                <w:color w:val="000000"/>
                <w:sz w:val="22"/>
                <w:szCs w:val="22"/>
                <w:shd w:val="clear" w:color="auto" w:fill="FFFFFF"/>
              </w:rPr>
              <w:t>37</w:t>
            </w:r>
          </w:p>
        </w:tc>
        <w:tc>
          <w:tcPr>
            <w:tcW w:w="4500" w:type="dxa"/>
            <w:tcBorders>
              <w:top w:val="nil"/>
              <w:left w:val="nil"/>
              <w:bottom w:val="nil"/>
              <w:right w:val="nil"/>
            </w:tcBorders>
            <w:shd w:val="clear" w:color="auto" w:fill="auto"/>
            <w:noWrap/>
            <w:vAlign w:val="bottom"/>
            <w:hideMark/>
          </w:tcPr>
          <w:p w14:paraId="3D7606B3" w14:textId="77777777" w:rsidR="00A14A03" w:rsidRPr="00062EAD" w:rsidRDefault="00A14A03" w:rsidP="00AE2262">
            <w:pPr>
              <w:spacing w:after="200" w:line="276" w:lineRule="auto"/>
              <w:rPr>
                <w:rFonts w:ascii="Times New Roman" w:eastAsia="Times New Roman" w:hAnsi="Times New Roman" w:cs="Times New Roman"/>
                <w:color w:val="000000"/>
                <w:sz w:val="22"/>
                <w:szCs w:val="22"/>
                <w:shd w:val="clear" w:color="auto" w:fill="FFFFFF"/>
              </w:rPr>
            </w:pPr>
            <w:r w:rsidRPr="00062EAD">
              <w:rPr>
                <w:rFonts w:ascii="Times New Roman" w:eastAsia="Times New Roman" w:hAnsi="Times New Roman" w:cs="Times New Roman"/>
                <w:color w:val="000000"/>
                <w:sz w:val="22"/>
                <w:szCs w:val="22"/>
                <w:shd w:val="clear" w:color="auto" w:fill="FFFFFF"/>
              </w:rPr>
              <w:t>Transportation Equipment</w:t>
            </w:r>
          </w:p>
        </w:tc>
        <w:tc>
          <w:tcPr>
            <w:tcW w:w="1165" w:type="dxa"/>
            <w:tcBorders>
              <w:top w:val="nil"/>
              <w:left w:val="nil"/>
              <w:bottom w:val="nil"/>
              <w:right w:val="nil"/>
            </w:tcBorders>
            <w:shd w:val="clear" w:color="auto" w:fill="auto"/>
            <w:noWrap/>
            <w:vAlign w:val="bottom"/>
            <w:hideMark/>
          </w:tcPr>
          <w:p w14:paraId="73EBD445" w14:textId="77777777" w:rsidR="00A14A03" w:rsidRPr="00062EAD" w:rsidRDefault="00A14A03" w:rsidP="00AE2262">
            <w:pPr>
              <w:spacing w:after="200" w:line="276" w:lineRule="auto"/>
              <w:rPr>
                <w:rFonts w:ascii="Times New Roman" w:eastAsia="Times New Roman" w:hAnsi="Times New Roman" w:cs="Times New Roman"/>
                <w:color w:val="000000"/>
                <w:sz w:val="22"/>
                <w:szCs w:val="22"/>
                <w:shd w:val="clear" w:color="auto" w:fill="FFFFFF"/>
              </w:rPr>
            </w:pPr>
            <w:r w:rsidRPr="00062EAD">
              <w:rPr>
                <w:rFonts w:ascii="Times New Roman" w:eastAsia="Times New Roman" w:hAnsi="Times New Roman" w:cs="Times New Roman"/>
                <w:color w:val="000000"/>
                <w:sz w:val="22"/>
                <w:szCs w:val="22"/>
                <w:shd w:val="clear" w:color="auto" w:fill="FFFFFF"/>
              </w:rPr>
              <w:t>41</w:t>
            </w:r>
          </w:p>
        </w:tc>
        <w:tc>
          <w:tcPr>
            <w:tcW w:w="1322" w:type="dxa"/>
            <w:tcBorders>
              <w:top w:val="nil"/>
              <w:left w:val="nil"/>
              <w:bottom w:val="nil"/>
              <w:right w:val="nil"/>
            </w:tcBorders>
            <w:shd w:val="clear" w:color="auto" w:fill="auto"/>
            <w:noWrap/>
            <w:vAlign w:val="bottom"/>
            <w:hideMark/>
          </w:tcPr>
          <w:p w14:paraId="393B53B4" w14:textId="77777777" w:rsidR="00A14A03" w:rsidRPr="00062EAD" w:rsidRDefault="00A14A03" w:rsidP="00AE2262">
            <w:pPr>
              <w:spacing w:after="200" w:line="276" w:lineRule="auto"/>
              <w:rPr>
                <w:rFonts w:ascii="Times New Roman" w:eastAsia="Times New Roman" w:hAnsi="Times New Roman" w:cs="Times New Roman"/>
                <w:color w:val="000000"/>
                <w:sz w:val="22"/>
                <w:szCs w:val="22"/>
                <w:shd w:val="clear" w:color="auto" w:fill="FFFFFF"/>
              </w:rPr>
            </w:pPr>
            <w:r w:rsidRPr="00062EAD">
              <w:rPr>
                <w:rFonts w:ascii="Times New Roman" w:eastAsia="Times New Roman" w:hAnsi="Times New Roman" w:cs="Times New Roman"/>
                <w:color w:val="000000"/>
                <w:sz w:val="22"/>
                <w:szCs w:val="22"/>
                <w:shd w:val="clear" w:color="auto" w:fill="FFFFFF"/>
              </w:rPr>
              <w:t>393,689</w:t>
            </w:r>
          </w:p>
        </w:tc>
        <w:tc>
          <w:tcPr>
            <w:tcW w:w="1350" w:type="dxa"/>
            <w:tcBorders>
              <w:top w:val="nil"/>
              <w:left w:val="nil"/>
              <w:bottom w:val="nil"/>
              <w:right w:val="nil"/>
            </w:tcBorders>
            <w:shd w:val="clear" w:color="auto" w:fill="auto"/>
            <w:noWrap/>
            <w:vAlign w:val="bottom"/>
            <w:hideMark/>
          </w:tcPr>
          <w:p w14:paraId="3406E4F3" w14:textId="77777777" w:rsidR="00A14A03" w:rsidRPr="00062EAD" w:rsidRDefault="00A14A03" w:rsidP="00AE2262">
            <w:pPr>
              <w:spacing w:after="200" w:line="276" w:lineRule="auto"/>
              <w:rPr>
                <w:rFonts w:ascii="Times New Roman" w:eastAsia="Times New Roman" w:hAnsi="Times New Roman" w:cs="Times New Roman"/>
                <w:color w:val="000000"/>
                <w:sz w:val="22"/>
                <w:szCs w:val="22"/>
                <w:shd w:val="clear" w:color="auto" w:fill="FFFFFF"/>
              </w:rPr>
            </w:pPr>
            <w:r w:rsidRPr="00062EAD">
              <w:rPr>
                <w:rFonts w:ascii="Times New Roman" w:eastAsia="Times New Roman" w:hAnsi="Times New Roman" w:cs="Times New Roman"/>
                <w:color w:val="000000"/>
                <w:sz w:val="22"/>
                <w:szCs w:val="22"/>
                <w:shd w:val="clear" w:color="auto" w:fill="FFFFFF"/>
              </w:rPr>
              <w:t>270,000</w:t>
            </w:r>
          </w:p>
        </w:tc>
        <w:tc>
          <w:tcPr>
            <w:tcW w:w="810" w:type="dxa"/>
            <w:tcBorders>
              <w:top w:val="nil"/>
              <w:left w:val="nil"/>
              <w:bottom w:val="nil"/>
              <w:right w:val="nil"/>
            </w:tcBorders>
            <w:shd w:val="clear" w:color="auto" w:fill="auto"/>
            <w:noWrap/>
            <w:vAlign w:val="bottom"/>
            <w:hideMark/>
          </w:tcPr>
          <w:p w14:paraId="078A1FD6" w14:textId="77777777" w:rsidR="00A14A03" w:rsidRPr="00062EAD" w:rsidRDefault="00A14A03" w:rsidP="00AE2262">
            <w:pPr>
              <w:spacing w:after="200" w:line="276" w:lineRule="auto"/>
              <w:rPr>
                <w:rFonts w:ascii="Times New Roman" w:eastAsia="Times New Roman" w:hAnsi="Times New Roman" w:cs="Times New Roman"/>
                <w:color w:val="000000"/>
                <w:sz w:val="22"/>
                <w:szCs w:val="22"/>
                <w:shd w:val="clear" w:color="auto" w:fill="FFFFFF"/>
              </w:rPr>
            </w:pPr>
            <w:r w:rsidRPr="00062EAD">
              <w:rPr>
                <w:rFonts w:ascii="Times New Roman" w:eastAsia="Times New Roman" w:hAnsi="Times New Roman" w:cs="Times New Roman"/>
                <w:color w:val="000000"/>
                <w:sz w:val="22"/>
                <w:szCs w:val="22"/>
                <w:shd w:val="clear" w:color="auto" w:fill="FFFFFF"/>
              </w:rPr>
              <w:t>11.4</w:t>
            </w:r>
          </w:p>
        </w:tc>
        <w:tc>
          <w:tcPr>
            <w:tcW w:w="990" w:type="dxa"/>
            <w:tcBorders>
              <w:top w:val="nil"/>
              <w:left w:val="nil"/>
              <w:bottom w:val="nil"/>
              <w:right w:val="nil"/>
            </w:tcBorders>
            <w:shd w:val="clear" w:color="auto" w:fill="auto"/>
            <w:noWrap/>
            <w:vAlign w:val="bottom"/>
            <w:hideMark/>
          </w:tcPr>
          <w:p w14:paraId="58F41B40" w14:textId="77777777" w:rsidR="00A14A03" w:rsidRPr="00062EAD" w:rsidRDefault="00A14A03" w:rsidP="00AE2262">
            <w:pPr>
              <w:spacing w:after="200" w:line="276" w:lineRule="auto"/>
              <w:rPr>
                <w:rFonts w:ascii="Times New Roman" w:eastAsia="Times New Roman" w:hAnsi="Times New Roman" w:cs="Times New Roman"/>
                <w:color w:val="000000"/>
                <w:sz w:val="22"/>
                <w:szCs w:val="22"/>
                <w:shd w:val="clear" w:color="auto" w:fill="FFFFFF"/>
              </w:rPr>
            </w:pPr>
            <w:r w:rsidRPr="00062EAD">
              <w:rPr>
                <w:rFonts w:ascii="Times New Roman" w:eastAsia="Times New Roman" w:hAnsi="Times New Roman" w:cs="Times New Roman"/>
                <w:color w:val="000000"/>
                <w:sz w:val="22"/>
                <w:szCs w:val="22"/>
                <w:shd w:val="clear" w:color="auto" w:fill="FFFFFF"/>
              </w:rPr>
              <w:t>7.4</w:t>
            </w:r>
          </w:p>
        </w:tc>
      </w:tr>
      <w:tr w:rsidR="00A14A03" w:rsidRPr="00062EAD" w14:paraId="23711595" w14:textId="77777777" w:rsidTr="00AE2262">
        <w:trPr>
          <w:trHeight w:val="300"/>
        </w:trPr>
        <w:tc>
          <w:tcPr>
            <w:tcW w:w="915" w:type="dxa"/>
            <w:tcBorders>
              <w:top w:val="nil"/>
              <w:left w:val="nil"/>
              <w:bottom w:val="nil"/>
              <w:right w:val="nil"/>
            </w:tcBorders>
            <w:shd w:val="clear" w:color="auto" w:fill="auto"/>
            <w:noWrap/>
            <w:vAlign w:val="bottom"/>
            <w:hideMark/>
          </w:tcPr>
          <w:p w14:paraId="7B256911" w14:textId="77777777" w:rsidR="00A14A03" w:rsidRPr="00062EAD" w:rsidRDefault="00A14A03" w:rsidP="00AE2262">
            <w:pPr>
              <w:spacing w:after="200" w:line="276" w:lineRule="auto"/>
              <w:rPr>
                <w:rFonts w:ascii="Times New Roman" w:eastAsia="Times New Roman" w:hAnsi="Times New Roman" w:cs="Times New Roman"/>
                <w:color w:val="000000"/>
                <w:sz w:val="22"/>
                <w:szCs w:val="22"/>
                <w:shd w:val="clear" w:color="auto" w:fill="FFFFFF"/>
              </w:rPr>
            </w:pPr>
            <w:r w:rsidRPr="00062EAD">
              <w:rPr>
                <w:rFonts w:ascii="Times New Roman" w:eastAsia="Times New Roman" w:hAnsi="Times New Roman" w:cs="Times New Roman"/>
                <w:color w:val="000000"/>
                <w:sz w:val="22"/>
                <w:szCs w:val="22"/>
                <w:shd w:val="clear" w:color="auto" w:fill="FFFFFF"/>
              </w:rPr>
              <w:t>36</w:t>
            </w:r>
          </w:p>
        </w:tc>
        <w:tc>
          <w:tcPr>
            <w:tcW w:w="4500" w:type="dxa"/>
            <w:tcBorders>
              <w:top w:val="nil"/>
              <w:left w:val="nil"/>
              <w:bottom w:val="nil"/>
              <w:right w:val="nil"/>
            </w:tcBorders>
            <w:shd w:val="clear" w:color="auto" w:fill="auto"/>
            <w:noWrap/>
            <w:vAlign w:val="bottom"/>
            <w:hideMark/>
          </w:tcPr>
          <w:p w14:paraId="653CB832" w14:textId="77777777" w:rsidR="00A14A03" w:rsidRPr="00062EAD" w:rsidRDefault="00A14A03" w:rsidP="00AE2262">
            <w:pPr>
              <w:spacing w:after="200" w:line="276" w:lineRule="auto"/>
              <w:rPr>
                <w:rFonts w:ascii="Times New Roman" w:eastAsia="Times New Roman" w:hAnsi="Times New Roman" w:cs="Times New Roman"/>
                <w:color w:val="000000"/>
                <w:sz w:val="22"/>
                <w:szCs w:val="22"/>
                <w:shd w:val="clear" w:color="auto" w:fill="FFFFFF"/>
              </w:rPr>
            </w:pPr>
            <w:r w:rsidRPr="00062EAD">
              <w:rPr>
                <w:rFonts w:ascii="Times New Roman" w:eastAsia="Times New Roman" w:hAnsi="Times New Roman" w:cs="Times New Roman"/>
                <w:color w:val="000000"/>
                <w:sz w:val="22"/>
                <w:szCs w:val="22"/>
                <w:shd w:val="clear" w:color="auto" w:fill="FFFFFF"/>
              </w:rPr>
              <w:t>Electronic &amp; Other Electric Equipment</w:t>
            </w:r>
          </w:p>
        </w:tc>
        <w:tc>
          <w:tcPr>
            <w:tcW w:w="1165" w:type="dxa"/>
            <w:tcBorders>
              <w:top w:val="nil"/>
              <w:left w:val="nil"/>
              <w:bottom w:val="nil"/>
              <w:right w:val="nil"/>
            </w:tcBorders>
            <w:shd w:val="clear" w:color="auto" w:fill="auto"/>
            <w:noWrap/>
            <w:vAlign w:val="bottom"/>
            <w:hideMark/>
          </w:tcPr>
          <w:p w14:paraId="65733C4A" w14:textId="77777777" w:rsidR="00A14A03" w:rsidRPr="00062EAD" w:rsidRDefault="00A14A03" w:rsidP="00AE2262">
            <w:pPr>
              <w:spacing w:after="200" w:line="276" w:lineRule="auto"/>
              <w:rPr>
                <w:rFonts w:ascii="Times New Roman" w:eastAsia="Times New Roman" w:hAnsi="Times New Roman" w:cs="Times New Roman"/>
                <w:color w:val="000000"/>
                <w:sz w:val="22"/>
                <w:szCs w:val="22"/>
                <w:shd w:val="clear" w:color="auto" w:fill="FFFFFF"/>
              </w:rPr>
            </w:pPr>
            <w:r w:rsidRPr="00062EAD">
              <w:rPr>
                <w:rFonts w:ascii="Times New Roman" w:eastAsia="Times New Roman" w:hAnsi="Times New Roman" w:cs="Times New Roman"/>
                <w:color w:val="000000"/>
                <w:sz w:val="22"/>
                <w:szCs w:val="22"/>
                <w:shd w:val="clear" w:color="auto" w:fill="FFFFFF"/>
              </w:rPr>
              <w:t>28</w:t>
            </w:r>
          </w:p>
        </w:tc>
        <w:tc>
          <w:tcPr>
            <w:tcW w:w="1322" w:type="dxa"/>
            <w:tcBorders>
              <w:top w:val="nil"/>
              <w:left w:val="nil"/>
              <w:bottom w:val="nil"/>
              <w:right w:val="nil"/>
            </w:tcBorders>
            <w:shd w:val="clear" w:color="auto" w:fill="auto"/>
            <w:noWrap/>
            <w:vAlign w:val="bottom"/>
            <w:hideMark/>
          </w:tcPr>
          <w:p w14:paraId="10DCD2D4" w14:textId="77777777" w:rsidR="00A14A03" w:rsidRPr="00062EAD" w:rsidRDefault="00A14A03" w:rsidP="00AE2262">
            <w:pPr>
              <w:spacing w:after="200" w:line="276" w:lineRule="auto"/>
              <w:rPr>
                <w:rFonts w:ascii="Times New Roman" w:eastAsia="Times New Roman" w:hAnsi="Times New Roman" w:cs="Times New Roman"/>
                <w:color w:val="000000"/>
                <w:sz w:val="22"/>
                <w:szCs w:val="22"/>
                <w:shd w:val="clear" w:color="auto" w:fill="FFFFFF"/>
              </w:rPr>
            </w:pPr>
            <w:r w:rsidRPr="00062EAD">
              <w:rPr>
                <w:rFonts w:ascii="Times New Roman" w:eastAsia="Times New Roman" w:hAnsi="Times New Roman" w:cs="Times New Roman"/>
                <w:color w:val="000000"/>
                <w:sz w:val="22"/>
                <w:szCs w:val="22"/>
                <w:shd w:val="clear" w:color="auto" w:fill="FFFFFF"/>
              </w:rPr>
              <w:t>176,107</w:t>
            </w:r>
          </w:p>
        </w:tc>
        <w:tc>
          <w:tcPr>
            <w:tcW w:w="1350" w:type="dxa"/>
            <w:tcBorders>
              <w:top w:val="nil"/>
              <w:left w:val="nil"/>
              <w:bottom w:val="nil"/>
              <w:right w:val="nil"/>
            </w:tcBorders>
            <w:shd w:val="clear" w:color="auto" w:fill="auto"/>
            <w:noWrap/>
            <w:vAlign w:val="bottom"/>
            <w:hideMark/>
          </w:tcPr>
          <w:p w14:paraId="0290D0BB" w14:textId="77777777" w:rsidR="00A14A03" w:rsidRPr="00062EAD" w:rsidRDefault="00A14A03" w:rsidP="00AE2262">
            <w:pPr>
              <w:spacing w:after="200" w:line="276" w:lineRule="auto"/>
              <w:rPr>
                <w:rFonts w:ascii="Times New Roman" w:eastAsia="Times New Roman" w:hAnsi="Times New Roman" w:cs="Times New Roman"/>
                <w:color w:val="000000"/>
                <w:sz w:val="22"/>
                <w:szCs w:val="22"/>
                <w:shd w:val="clear" w:color="auto" w:fill="FFFFFF"/>
              </w:rPr>
            </w:pPr>
            <w:r w:rsidRPr="00062EAD">
              <w:rPr>
                <w:rFonts w:ascii="Times New Roman" w:eastAsia="Times New Roman" w:hAnsi="Times New Roman" w:cs="Times New Roman"/>
                <w:color w:val="000000"/>
                <w:sz w:val="22"/>
                <w:szCs w:val="22"/>
                <w:shd w:val="clear" w:color="auto" w:fill="FFFFFF"/>
              </w:rPr>
              <w:t>85,000</w:t>
            </w:r>
          </w:p>
        </w:tc>
        <w:tc>
          <w:tcPr>
            <w:tcW w:w="810" w:type="dxa"/>
            <w:tcBorders>
              <w:top w:val="nil"/>
              <w:left w:val="nil"/>
              <w:bottom w:val="nil"/>
              <w:right w:val="nil"/>
            </w:tcBorders>
            <w:shd w:val="clear" w:color="auto" w:fill="auto"/>
            <w:noWrap/>
            <w:vAlign w:val="bottom"/>
            <w:hideMark/>
          </w:tcPr>
          <w:p w14:paraId="08A454E1" w14:textId="77777777" w:rsidR="00A14A03" w:rsidRPr="00062EAD" w:rsidRDefault="00A14A03" w:rsidP="00AE2262">
            <w:pPr>
              <w:spacing w:after="200" w:line="276" w:lineRule="auto"/>
              <w:rPr>
                <w:rFonts w:ascii="Times New Roman" w:eastAsia="Times New Roman" w:hAnsi="Times New Roman" w:cs="Times New Roman"/>
                <w:color w:val="000000"/>
                <w:sz w:val="22"/>
                <w:szCs w:val="22"/>
                <w:shd w:val="clear" w:color="auto" w:fill="FFFFFF"/>
              </w:rPr>
            </w:pPr>
            <w:r w:rsidRPr="00062EAD">
              <w:rPr>
                <w:rFonts w:ascii="Times New Roman" w:eastAsia="Times New Roman" w:hAnsi="Times New Roman" w:cs="Times New Roman"/>
                <w:color w:val="000000"/>
                <w:sz w:val="22"/>
                <w:szCs w:val="22"/>
                <w:shd w:val="clear" w:color="auto" w:fill="FFFFFF"/>
              </w:rPr>
              <w:t>19.7</w:t>
            </w:r>
          </w:p>
        </w:tc>
        <w:tc>
          <w:tcPr>
            <w:tcW w:w="990" w:type="dxa"/>
            <w:tcBorders>
              <w:top w:val="nil"/>
              <w:left w:val="nil"/>
              <w:bottom w:val="nil"/>
              <w:right w:val="nil"/>
            </w:tcBorders>
            <w:shd w:val="clear" w:color="auto" w:fill="auto"/>
            <w:noWrap/>
            <w:vAlign w:val="bottom"/>
            <w:hideMark/>
          </w:tcPr>
          <w:p w14:paraId="2358DF09" w14:textId="77777777" w:rsidR="00A14A03" w:rsidRPr="00062EAD" w:rsidRDefault="00A14A03" w:rsidP="00AE2262">
            <w:pPr>
              <w:spacing w:after="200" w:line="276" w:lineRule="auto"/>
              <w:rPr>
                <w:rFonts w:ascii="Times New Roman" w:eastAsia="Times New Roman" w:hAnsi="Times New Roman" w:cs="Times New Roman"/>
                <w:color w:val="000000"/>
                <w:sz w:val="22"/>
                <w:szCs w:val="22"/>
                <w:shd w:val="clear" w:color="auto" w:fill="FFFFFF"/>
              </w:rPr>
            </w:pPr>
            <w:r w:rsidRPr="00062EAD">
              <w:rPr>
                <w:rFonts w:ascii="Times New Roman" w:eastAsia="Times New Roman" w:hAnsi="Times New Roman" w:cs="Times New Roman"/>
                <w:color w:val="000000"/>
                <w:sz w:val="22"/>
                <w:szCs w:val="22"/>
                <w:shd w:val="clear" w:color="auto" w:fill="FFFFFF"/>
              </w:rPr>
              <w:t>20.7</w:t>
            </w:r>
          </w:p>
        </w:tc>
      </w:tr>
      <w:tr w:rsidR="00A14A03" w:rsidRPr="00062EAD" w14:paraId="5649EF28" w14:textId="77777777" w:rsidTr="00AE2262">
        <w:trPr>
          <w:trHeight w:val="300"/>
        </w:trPr>
        <w:tc>
          <w:tcPr>
            <w:tcW w:w="915" w:type="dxa"/>
            <w:tcBorders>
              <w:top w:val="nil"/>
              <w:left w:val="nil"/>
              <w:bottom w:val="nil"/>
              <w:right w:val="nil"/>
            </w:tcBorders>
            <w:shd w:val="clear" w:color="auto" w:fill="auto"/>
            <w:noWrap/>
            <w:vAlign w:val="bottom"/>
            <w:hideMark/>
          </w:tcPr>
          <w:p w14:paraId="4455BDFF" w14:textId="77777777" w:rsidR="00A14A03" w:rsidRPr="00062EAD" w:rsidRDefault="00A14A03" w:rsidP="00AE2262">
            <w:pPr>
              <w:spacing w:after="200" w:line="276" w:lineRule="auto"/>
              <w:rPr>
                <w:rFonts w:ascii="Times New Roman" w:eastAsia="Times New Roman" w:hAnsi="Times New Roman" w:cs="Times New Roman"/>
                <w:color w:val="000000"/>
                <w:sz w:val="22"/>
                <w:szCs w:val="22"/>
                <w:shd w:val="clear" w:color="auto" w:fill="FFFFFF"/>
              </w:rPr>
            </w:pPr>
            <w:r w:rsidRPr="00062EAD">
              <w:rPr>
                <w:rFonts w:ascii="Times New Roman" w:eastAsia="Times New Roman" w:hAnsi="Times New Roman" w:cs="Times New Roman"/>
                <w:color w:val="000000"/>
                <w:sz w:val="22"/>
                <w:szCs w:val="22"/>
                <w:shd w:val="clear" w:color="auto" w:fill="FFFFFF"/>
              </w:rPr>
              <w:t>87</w:t>
            </w:r>
          </w:p>
        </w:tc>
        <w:tc>
          <w:tcPr>
            <w:tcW w:w="4500" w:type="dxa"/>
            <w:tcBorders>
              <w:top w:val="nil"/>
              <w:left w:val="nil"/>
              <w:bottom w:val="nil"/>
              <w:right w:val="nil"/>
            </w:tcBorders>
            <w:shd w:val="clear" w:color="auto" w:fill="auto"/>
            <w:noWrap/>
            <w:vAlign w:val="bottom"/>
            <w:hideMark/>
          </w:tcPr>
          <w:p w14:paraId="2866BF0F" w14:textId="77777777" w:rsidR="00A14A03" w:rsidRPr="00062EAD" w:rsidRDefault="00A14A03" w:rsidP="00AE2262">
            <w:pPr>
              <w:spacing w:after="200" w:line="276" w:lineRule="auto"/>
              <w:rPr>
                <w:rFonts w:ascii="Times New Roman" w:eastAsia="Times New Roman" w:hAnsi="Times New Roman" w:cs="Times New Roman"/>
                <w:color w:val="000000"/>
                <w:sz w:val="22"/>
                <w:szCs w:val="22"/>
                <w:shd w:val="clear" w:color="auto" w:fill="FFFFFF"/>
              </w:rPr>
            </w:pPr>
            <w:r w:rsidRPr="00062EAD">
              <w:rPr>
                <w:rFonts w:ascii="Times New Roman" w:eastAsia="Times New Roman" w:hAnsi="Times New Roman" w:cs="Times New Roman"/>
                <w:color w:val="000000"/>
                <w:sz w:val="22"/>
                <w:szCs w:val="22"/>
                <w:shd w:val="clear" w:color="auto" w:fill="FFFFFF"/>
              </w:rPr>
              <w:t>Engineering &amp; Management Services</w:t>
            </w:r>
          </w:p>
        </w:tc>
        <w:tc>
          <w:tcPr>
            <w:tcW w:w="1165" w:type="dxa"/>
            <w:tcBorders>
              <w:top w:val="nil"/>
              <w:left w:val="nil"/>
              <w:bottom w:val="nil"/>
              <w:right w:val="nil"/>
            </w:tcBorders>
            <w:shd w:val="clear" w:color="auto" w:fill="auto"/>
            <w:noWrap/>
            <w:vAlign w:val="bottom"/>
            <w:hideMark/>
          </w:tcPr>
          <w:p w14:paraId="08BC7553" w14:textId="77777777" w:rsidR="00A14A03" w:rsidRPr="00062EAD" w:rsidRDefault="00A14A03" w:rsidP="00AE2262">
            <w:pPr>
              <w:spacing w:after="200" w:line="276" w:lineRule="auto"/>
              <w:rPr>
                <w:rFonts w:ascii="Times New Roman" w:eastAsia="Times New Roman" w:hAnsi="Times New Roman" w:cs="Times New Roman"/>
                <w:color w:val="000000"/>
                <w:sz w:val="22"/>
                <w:szCs w:val="22"/>
                <w:shd w:val="clear" w:color="auto" w:fill="FFFFFF"/>
              </w:rPr>
            </w:pPr>
            <w:r w:rsidRPr="00062EAD">
              <w:rPr>
                <w:rFonts w:ascii="Times New Roman" w:eastAsia="Times New Roman" w:hAnsi="Times New Roman" w:cs="Times New Roman"/>
                <w:color w:val="000000"/>
                <w:sz w:val="22"/>
                <w:szCs w:val="22"/>
                <w:shd w:val="clear" w:color="auto" w:fill="FFFFFF"/>
              </w:rPr>
              <w:t>26</w:t>
            </w:r>
          </w:p>
        </w:tc>
        <w:tc>
          <w:tcPr>
            <w:tcW w:w="1322" w:type="dxa"/>
            <w:tcBorders>
              <w:top w:val="nil"/>
              <w:left w:val="nil"/>
              <w:bottom w:val="nil"/>
              <w:right w:val="nil"/>
            </w:tcBorders>
            <w:shd w:val="clear" w:color="auto" w:fill="auto"/>
            <w:noWrap/>
            <w:vAlign w:val="bottom"/>
            <w:hideMark/>
          </w:tcPr>
          <w:p w14:paraId="40EDA095" w14:textId="77777777" w:rsidR="00A14A03" w:rsidRPr="00062EAD" w:rsidRDefault="00A14A03" w:rsidP="00AE2262">
            <w:pPr>
              <w:spacing w:after="200" w:line="276" w:lineRule="auto"/>
              <w:rPr>
                <w:rFonts w:ascii="Times New Roman" w:eastAsia="Times New Roman" w:hAnsi="Times New Roman" w:cs="Times New Roman"/>
                <w:color w:val="000000"/>
                <w:sz w:val="22"/>
                <w:szCs w:val="22"/>
                <w:shd w:val="clear" w:color="auto" w:fill="FFFFFF"/>
              </w:rPr>
            </w:pPr>
            <w:r w:rsidRPr="00062EAD">
              <w:rPr>
                <w:rFonts w:ascii="Times New Roman" w:eastAsia="Times New Roman" w:hAnsi="Times New Roman" w:cs="Times New Roman"/>
                <w:color w:val="000000"/>
                <w:sz w:val="22"/>
                <w:szCs w:val="22"/>
                <w:shd w:val="clear" w:color="auto" w:fill="FFFFFF"/>
              </w:rPr>
              <w:t>1,516,202</w:t>
            </w:r>
          </w:p>
        </w:tc>
        <w:tc>
          <w:tcPr>
            <w:tcW w:w="1350" w:type="dxa"/>
            <w:tcBorders>
              <w:top w:val="nil"/>
              <w:left w:val="nil"/>
              <w:bottom w:val="nil"/>
              <w:right w:val="nil"/>
            </w:tcBorders>
            <w:shd w:val="clear" w:color="auto" w:fill="auto"/>
            <w:noWrap/>
            <w:vAlign w:val="bottom"/>
            <w:hideMark/>
          </w:tcPr>
          <w:p w14:paraId="77364D24" w14:textId="77777777" w:rsidR="00A14A03" w:rsidRPr="00062EAD" w:rsidRDefault="00A14A03" w:rsidP="00AE2262">
            <w:pPr>
              <w:spacing w:after="200" w:line="276" w:lineRule="auto"/>
              <w:rPr>
                <w:rFonts w:ascii="Times New Roman" w:eastAsia="Times New Roman" w:hAnsi="Times New Roman" w:cs="Times New Roman"/>
                <w:color w:val="000000"/>
                <w:sz w:val="22"/>
                <w:szCs w:val="22"/>
                <w:shd w:val="clear" w:color="auto" w:fill="FFFFFF"/>
              </w:rPr>
            </w:pPr>
            <w:r w:rsidRPr="00062EAD">
              <w:rPr>
                <w:rFonts w:ascii="Times New Roman" w:eastAsia="Times New Roman" w:hAnsi="Times New Roman" w:cs="Times New Roman"/>
                <w:color w:val="000000"/>
                <w:sz w:val="22"/>
                <w:szCs w:val="22"/>
                <w:shd w:val="clear" w:color="auto" w:fill="FFFFFF"/>
              </w:rPr>
              <w:t>225,000</w:t>
            </w:r>
          </w:p>
        </w:tc>
        <w:tc>
          <w:tcPr>
            <w:tcW w:w="810" w:type="dxa"/>
            <w:tcBorders>
              <w:top w:val="nil"/>
              <w:left w:val="nil"/>
              <w:bottom w:val="nil"/>
              <w:right w:val="nil"/>
            </w:tcBorders>
            <w:shd w:val="clear" w:color="auto" w:fill="auto"/>
            <w:noWrap/>
            <w:vAlign w:val="bottom"/>
            <w:hideMark/>
          </w:tcPr>
          <w:p w14:paraId="793A562F" w14:textId="77777777" w:rsidR="00A14A03" w:rsidRPr="00062EAD" w:rsidRDefault="00A14A03" w:rsidP="00AE2262">
            <w:pPr>
              <w:spacing w:after="200" w:line="276" w:lineRule="auto"/>
              <w:rPr>
                <w:rFonts w:ascii="Times New Roman" w:eastAsia="Times New Roman" w:hAnsi="Times New Roman" w:cs="Times New Roman"/>
                <w:color w:val="000000"/>
                <w:sz w:val="22"/>
                <w:szCs w:val="22"/>
                <w:shd w:val="clear" w:color="auto" w:fill="FFFFFF"/>
              </w:rPr>
            </w:pPr>
            <w:r w:rsidRPr="00062EAD">
              <w:rPr>
                <w:rFonts w:ascii="Times New Roman" w:eastAsia="Times New Roman" w:hAnsi="Times New Roman" w:cs="Times New Roman"/>
                <w:color w:val="000000"/>
                <w:sz w:val="22"/>
                <w:szCs w:val="22"/>
                <w:shd w:val="clear" w:color="auto" w:fill="FFFFFF"/>
              </w:rPr>
              <w:t>196.1</w:t>
            </w:r>
          </w:p>
        </w:tc>
        <w:tc>
          <w:tcPr>
            <w:tcW w:w="990" w:type="dxa"/>
            <w:tcBorders>
              <w:top w:val="nil"/>
              <w:left w:val="nil"/>
              <w:bottom w:val="nil"/>
              <w:right w:val="nil"/>
            </w:tcBorders>
            <w:shd w:val="clear" w:color="auto" w:fill="auto"/>
            <w:noWrap/>
            <w:vAlign w:val="bottom"/>
            <w:hideMark/>
          </w:tcPr>
          <w:p w14:paraId="4E094FDF" w14:textId="77777777" w:rsidR="00A14A03" w:rsidRPr="00062EAD" w:rsidRDefault="00A14A03" w:rsidP="00AE2262">
            <w:pPr>
              <w:spacing w:after="200" w:line="276" w:lineRule="auto"/>
              <w:rPr>
                <w:rFonts w:ascii="Times New Roman" w:eastAsia="Times New Roman" w:hAnsi="Times New Roman" w:cs="Times New Roman"/>
                <w:color w:val="000000"/>
                <w:sz w:val="22"/>
                <w:szCs w:val="22"/>
                <w:shd w:val="clear" w:color="auto" w:fill="FFFFFF"/>
              </w:rPr>
            </w:pPr>
            <w:r w:rsidRPr="00062EAD">
              <w:rPr>
                <w:rFonts w:ascii="Times New Roman" w:eastAsia="Times New Roman" w:hAnsi="Times New Roman" w:cs="Times New Roman"/>
                <w:color w:val="000000"/>
                <w:sz w:val="22"/>
                <w:szCs w:val="22"/>
                <w:shd w:val="clear" w:color="auto" w:fill="FFFFFF"/>
              </w:rPr>
              <w:t>11.1</w:t>
            </w:r>
          </w:p>
        </w:tc>
      </w:tr>
      <w:tr w:rsidR="00A14A03" w:rsidRPr="00062EAD" w14:paraId="6AC7CDE3" w14:textId="77777777" w:rsidTr="00AE2262">
        <w:trPr>
          <w:trHeight w:val="300"/>
        </w:trPr>
        <w:tc>
          <w:tcPr>
            <w:tcW w:w="915" w:type="dxa"/>
            <w:tcBorders>
              <w:top w:val="nil"/>
              <w:left w:val="nil"/>
              <w:bottom w:val="nil"/>
              <w:right w:val="nil"/>
            </w:tcBorders>
            <w:shd w:val="clear" w:color="auto" w:fill="auto"/>
            <w:noWrap/>
            <w:vAlign w:val="bottom"/>
            <w:hideMark/>
          </w:tcPr>
          <w:p w14:paraId="6D68C6DE" w14:textId="77777777" w:rsidR="00A14A03" w:rsidRPr="00062EAD" w:rsidRDefault="00A14A03" w:rsidP="00AE2262">
            <w:pPr>
              <w:spacing w:after="200" w:line="276" w:lineRule="auto"/>
              <w:rPr>
                <w:rFonts w:ascii="Times New Roman" w:eastAsia="Times New Roman" w:hAnsi="Times New Roman" w:cs="Times New Roman"/>
                <w:color w:val="000000"/>
                <w:sz w:val="22"/>
                <w:szCs w:val="22"/>
                <w:shd w:val="clear" w:color="auto" w:fill="FFFFFF"/>
              </w:rPr>
            </w:pPr>
            <w:r w:rsidRPr="00062EAD">
              <w:rPr>
                <w:rFonts w:ascii="Times New Roman" w:eastAsia="Times New Roman" w:hAnsi="Times New Roman" w:cs="Times New Roman"/>
                <w:color w:val="000000"/>
                <w:sz w:val="22"/>
                <w:szCs w:val="22"/>
                <w:shd w:val="clear" w:color="auto" w:fill="FFFFFF"/>
              </w:rPr>
              <w:t>35</w:t>
            </w:r>
          </w:p>
        </w:tc>
        <w:tc>
          <w:tcPr>
            <w:tcW w:w="4500" w:type="dxa"/>
            <w:tcBorders>
              <w:top w:val="nil"/>
              <w:left w:val="nil"/>
              <w:bottom w:val="nil"/>
              <w:right w:val="nil"/>
            </w:tcBorders>
            <w:shd w:val="clear" w:color="auto" w:fill="auto"/>
            <w:noWrap/>
            <w:vAlign w:val="bottom"/>
            <w:hideMark/>
          </w:tcPr>
          <w:p w14:paraId="67A21DB8" w14:textId="77777777" w:rsidR="00A14A03" w:rsidRPr="00062EAD" w:rsidRDefault="00A14A03" w:rsidP="00AE2262">
            <w:pPr>
              <w:spacing w:after="200" w:line="276" w:lineRule="auto"/>
              <w:rPr>
                <w:rFonts w:ascii="Times New Roman" w:eastAsia="Times New Roman" w:hAnsi="Times New Roman" w:cs="Times New Roman"/>
                <w:color w:val="000000"/>
                <w:sz w:val="22"/>
                <w:szCs w:val="22"/>
                <w:shd w:val="clear" w:color="auto" w:fill="FFFFFF"/>
              </w:rPr>
            </w:pPr>
            <w:r w:rsidRPr="00062EAD">
              <w:rPr>
                <w:rFonts w:ascii="Times New Roman" w:eastAsia="Times New Roman" w:hAnsi="Times New Roman" w:cs="Times New Roman"/>
                <w:color w:val="000000"/>
                <w:sz w:val="22"/>
                <w:szCs w:val="22"/>
                <w:shd w:val="clear" w:color="auto" w:fill="FFFFFF"/>
              </w:rPr>
              <w:t>Industrial Machinery &amp; Equipment</w:t>
            </w:r>
          </w:p>
        </w:tc>
        <w:tc>
          <w:tcPr>
            <w:tcW w:w="1165" w:type="dxa"/>
            <w:tcBorders>
              <w:top w:val="nil"/>
              <w:left w:val="nil"/>
              <w:bottom w:val="nil"/>
              <w:right w:val="nil"/>
            </w:tcBorders>
            <w:shd w:val="clear" w:color="auto" w:fill="auto"/>
            <w:noWrap/>
            <w:vAlign w:val="bottom"/>
            <w:hideMark/>
          </w:tcPr>
          <w:p w14:paraId="515B0B69" w14:textId="77777777" w:rsidR="00A14A03" w:rsidRPr="00062EAD" w:rsidRDefault="00A14A03" w:rsidP="00AE2262">
            <w:pPr>
              <w:spacing w:after="200" w:line="276" w:lineRule="auto"/>
              <w:rPr>
                <w:rFonts w:ascii="Times New Roman" w:eastAsia="Times New Roman" w:hAnsi="Times New Roman" w:cs="Times New Roman"/>
                <w:color w:val="000000"/>
                <w:sz w:val="22"/>
                <w:szCs w:val="22"/>
                <w:shd w:val="clear" w:color="auto" w:fill="FFFFFF"/>
              </w:rPr>
            </w:pPr>
            <w:r w:rsidRPr="00062EAD">
              <w:rPr>
                <w:rFonts w:ascii="Times New Roman" w:eastAsia="Times New Roman" w:hAnsi="Times New Roman" w:cs="Times New Roman"/>
                <w:color w:val="000000"/>
                <w:sz w:val="22"/>
                <w:szCs w:val="22"/>
                <w:shd w:val="clear" w:color="auto" w:fill="FFFFFF"/>
              </w:rPr>
              <w:t>25</w:t>
            </w:r>
          </w:p>
        </w:tc>
        <w:tc>
          <w:tcPr>
            <w:tcW w:w="1322" w:type="dxa"/>
            <w:tcBorders>
              <w:top w:val="nil"/>
              <w:left w:val="nil"/>
              <w:bottom w:val="nil"/>
              <w:right w:val="nil"/>
            </w:tcBorders>
            <w:shd w:val="clear" w:color="auto" w:fill="auto"/>
            <w:noWrap/>
            <w:vAlign w:val="bottom"/>
            <w:hideMark/>
          </w:tcPr>
          <w:p w14:paraId="2CD1A6BE" w14:textId="77777777" w:rsidR="00A14A03" w:rsidRPr="00062EAD" w:rsidRDefault="00A14A03" w:rsidP="00AE2262">
            <w:pPr>
              <w:spacing w:after="200" w:line="276" w:lineRule="auto"/>
              <w:rPr>
                <w:rFonts w:ascii="Times New Roman" w:eastAsia="Times New Roman" w:hAnsi="Times New Roman" w:cs="Times New Roman"/>
                <w:color w:val="000000"/>
                <w:sz w:val="22"/>
                <w:szCs w:val="22"/>
                <w:shd w:val="clear" w:color="auto" w:fill="FFFFFF"/>
              </w:rPr>
            </w:pPr>
            <w:r w:rsidRPr="00062EAD">
              <w:rPr>
                <w:rFonts w:ascii="Times New Roman" w:eastAsia="Times New Roman" w:hAnsi="Times New Roman" w:cs="Times New Roman"/>
                <w:color w:val="000000"/>
                <w:sz w:val="22"/>
                <w:szCs w:val="22"/>
                <w:shd w:val="clear" w:color="auto" w:fill="FFFFFF"/>
              </w:rPr>
              <w:t>113,000</w:t>
            </w:r>
          </w:p>
        </w:tc>
        <w:tc>
          <w:tcPr>
            <w:tcW w:w="1350" w:type="dxa"/>
            <w:tcBorders>
              <w:top w:val="nil"/>
              <w:left w:val="nil"/>
              <w:bottom w:val="nil"/>
              <w:right w:val="nil"/>
            </w:tcBorders>
            <w:shd w:val="clear" w:color="auto" w:fill="auto"/>
            <w:noWrap/>
            <w:vAlign w:val="bottom"/>
            <w:hideMark/>
          </w:tcPr>
          <w:p w14:paraId="01F69A93" w14:textId="77777777" w:rsidR="00A14A03" w:rsidRPr="00062EAD" w:rsidRDefault="00A14A03" w:rsidP="00AE2262">
            <w:pPr>
              <w:spacing w:after="200" w:line="276" w:lineRule="auto"/>
              <w:rPr>
                <w:rFonts w:ascii="Times New Roman" w:eastAsia="Times New Roman" w:hAnsi="Times New Roman" w:cs="Times New Roman"/>
                <w:color w:val="000000"/>
                <w:sz w:val="22"/>
                <w:szCs w:val="22"/>
                <w:shd w:val="clear" w:color="auto" w:fill="FFFFFF"/>
              </w:rPr>
            </w:pPr>
            <w:r w:rsidRPr="00062EAD">
              <w:rPr>
                <w:rFonts w:ascii="Times New Roman" w:eastAsia="Times New Roman" w:hAnsi="Times New Roman" w:cs="Times New Roman"/>
                <w:color w:val="000000"/>
                <w:sz w:val="22"/>
                <w:szCs w:val="22"/>
                <w:shd w:val="clear" w:color="auto" w:fill="FFFFFF"/>
              </w:rPr>
              <w:t>120,000</w:t>
            </w:r>
          </w:p>
        </w:tc>
        <w:tc>
          <w:tcPr>
            <w:tcW w:w="810" w:type="dxa"/>
            <w:tcBorders>
              <w:top w:val="nil"/>
              <w:left w:val="nil"/>
              <w:bottom w:val="nil"/>
              <w:right w:val="nil"/>
            </w:tcBorders>
            <w:shd w:val="clear" w:color="auto" w:fill="auto"/>
            <w:noWrap/>
            <w:vAlign w:val="bottom"/>
            <w:hideMark/>
          </w:tcPr>
          <w:p w14:paraId="6C949AD1" w14:textId="77777777" w:rsidR="00A14A03" w:rsidRPr="00062EAD" w:rsidRDefault="00A14A03" w:rsidP="00AE2262">
            <w:pPr>
              <w:spacing w:after="200" w:line="276" w:lineRule="auto"/>
              <w:rPr>
                <w:rFonts w:ascii="Times New Roman" w:eastAsia="Times New Roman" w:hAnsi="Times New Roman" w:cs="Times New Roman"/>
                <w:color w:val="000000"/>
                <w:sz w:val="22"/>
                <w:szCs w:val="22"/>
                <w:shd w:val="clear" w:color="auto" w:fill="FFFFFF"/>
              </w:rPr>
            </w:pPr>
            <w:r w:rsidRPr="00062EAD">
              <w:rPr>
                <w:rFonts w:ascii="Times New Roman" w:eastAsia="Times New Roman" w:hAnsi="Times New Roman" w:cs="Times New Roman"/>
                <w:color w:val="000000"/>
                <w:sz w:val="22"/>
                <w:szCs w:val="22"/>
                <w:shd w:val="clear" w:color="auto" w:fill="FFFFFF"/>
              </w:rPr>
              <w:t>12.2</w:t>
            </w:r>
          </w:p>
        </w:tc>
        <w:tc>
          <w:tcPr>
            <w:tcW w:w="990" w:type="dxa"/>
            <w:tcBorders>
              <w:top w:val="nil"/>
              <w:left w:val="nil"/>
              <w:bottom w:val="nil"/>
              <w:right w:val="nil"/>
            </w:tcBorders>
            <w:shd w:val="clear" w:color="auto" w:fill="auto"/>
            <w:noWrap/>
            <w:vAlign w:val="bottom"/>
            <w:hideMark/>
          </w:tcPr>
          <w:p w14:paraId="1C044495" w14:textId="77777777" w:rsidR="00A14A03" w:rsidRPr="00062EAD" w:rsidRDefault="00A14A03" w:rsidP="00AE2262">
            <w:pPr>
              <w:spacing w:after="200" w:line="276" w:lineRule="auto"/>
              <w:rPr>
                <w:rFonts w:ascii="Times New Roman" w:eastAsia="Times New Roman" w:hAnsi="Times New Roman" w:cs="Times New Roman"/>
                <w:color w:val="000000"/>
                <w:sz w:val="22"/>
                <w:szCs w:val="22"/>
                <w:shd w:val="clear" w:color="auto" w:fill="FFFFFF"/>
              </w:rPr>
            </w:pPr>
            <w:r w:rsidRPr="00062EAD">
              <w:rPr>
                <w:rFonts w:ascii="Times New Roman" w:eastAsia="Times New Roman" w:hAnsi="Times New Roman" w:cs="Times New Roman"/>
                <w:color w:val="000000"/>
                <w:sz w:val="22"/>
                <w:szCs w:val="22"/>
                <w:shd w:val="clear" w:color="auto" w:fill="FFFFFF"/>
              </w:rPr>
              <w:t>12.4</w:t>
            </w:r>
          </w:p>
        </w:tc>
      </w:tr>
      <w:tr w:rsidR="00A14A03" w:rsidRPr="00062EAD" w14:paraId="7D597AE3" w14:textId="77777777" w:rsidTr="00AE2262">
        <w:trPr>
          <w:trHeight w:val="300"/>
        </w:trPr>
        <w:tc>
          <w:tcPr>
            <w:tcW w:w="915" w:type="dxa"/>
            <w:tcBorders>
              <w:top w:val="nil"/>
              <w:left w:val="nil"/>
              <w:bottom w:val="nil"/>
              <w:right w:val="nil"/>
            </w:tcBorders>
            <w:shd w:val="clear" w:color="auto" w:fill="auto"/>
            <w:noWrap/>
            <w:vAlign w:val="bottom"/>
            <w:hideMark/>
          </w:tcPr>
          <w:p w14:paraId="0E325B6E" w14:textId="77777777" w:rsidR="00A14A03" w:rsidRPr="00062EAD" w:rsidRDefault="00A14A03" w:rsidP="00AE2262">
            <w:pPr>
              <w:spacing w:after="200" w:line="276" w:lineRule="auto"/>
              <w:rPr>
                <w:rFonts w:ascii="Times New Roman" w:eastAsia="Times New Roman" w:hAnsi="Times New Roman" w:cs="Times New Roman"/>
                <w:color w:val="000000"/>
                <w:sz w:val="22"/>
                <w:szCs w:val="22"/>
                <w:shd w:val="clear" w:color="auto" w:fill="FFFFFF"/>
              </w:rPr>
            </w:pPr>
            <w:r w:rsidRPr="00062EAD">
              <w:rPr>
                <w:rFonts w:ascii="Times New Roman" w:eastAsia="Times New Roman" w:hAnsi="Times New Roman" w:cs="Times New Roman"/>
                <w:color w:val="000000"/>
                <w:sz w:val="22"/>
                <w:szCs w:val="22"/>
                <w:shd w:val="clear" w:color="auto" w:fill="FFFFFF"/>
              </w:rPr>
              <w:t>20</w:t>
            </w:r>
          </w:p>
        </w:tc>
        <w:tc>
          <w:tcPr>
            <w:tcW w:w="4500" w:type="dxa"/>
            <w:tcBorders>
              <w:top w:val="nil"/>
              <w:left w:val="nil"/>
              <w:bottom w:val="nil"/>
              <w:right w:val="nil"/>
            </w:tcBorders>
            <w:shd w:val="clear" w:color="auto" w:fill="auto"/>
            <w:noWrap/>
            <w:vAlign w:val="bottom"/>
            <w:hideMark/>
          </w:tcPr>
          <w:p w14:paraId="3CEA360C" w14:textId="77777777" w:rsidR="00A14A03" w:rsidRPr="00062EAD" w:rsidRDefault="00A14A03" w:rsidP="00AE2262">
            <w:pPr>
              <w:spacing w:after="200" w:line="276" w:lineRule="auto"/>
              <w:rPr>
                <w:rFonts w:ascii="Times New Roman" w:eastAsia="Times New Roman" w:hAnsi="Times New Roman" w:cs="Times New Roman"/>
                <w:color w:val="000000"/>
                <w:sz w:val="22"/>
                <w:szCs w:val="22"/>
                <w:shd w:val="clear" w:color="auto" w:fill="FFFFFF"/>
              </w:rPr>
            </w:pPr>
            <w:r w:rsidRPr="00062EAD">
              <w:rPr>
                <w:rFonts w:ascii="Times New Roman" w:eastAsia="Times New Roman" w:hAnsi="Times New Roman" w:cs="Times New Roman"/>
                <w:color w:val="000000"/>
                <w:sz w:val="22"/>
                <w:szCs w:val="22"/>
                <w:shd w:val="clear" w:color="auto" w:fill="FFFFFF"/>
              </w:rPr>
              <w:t>Food &amp; Kindred Products</w:t>
            </w:r>
          </w:p>
        </w:tc>
        <w:tc>
          <w:tcPr>
            <w:tcW w:w="1165" w:type="dxa"/>
            <w:tcBorders>
              <w:top w:val="nil"/>
              <w:left w:val="nil"/>
              <w:bottom w:val="nil"/>
              <w:right w:val="nil"/>
            </w:tcBorders>
            <w:shd w:val="clear" w:color="auto" w:fill="auto"/>
            <w:noWrap/>
            <w:vAlign w:val="bottom"/>
            <w:hideMark/>
          </w:tcPr>
          <w:p w14:paraId="00282ED9" w14:textId="77777777" w:rsidR="00A14A03" w:rsidRPr="00062EAD" w:rsidRDefault="00A14A03" w:rsidP="00AE2262">
            <w:pPr>
              <w:spacing w:after="200" w:line="276" w:lineRule="auto"/>
              <w:rPr>
                <w:rFonts w:ascii="Times New Roman" w:eastAsia="Times New Roman" w:hAnsi="Times New Roman" w:cs="Times New Roman"/>
                <w:color w:val="000000"/>
                <w:sz w:val="22"/>
                <w:szCs w:val="22"/>
                <w:shd w:val="clear" w:color="auto" w:fill="FFFFFF"/>
              </w:rPr>
            </w:pPr>
            <w:r w:rsidRPr="00062EAD">
              <w:rPr>
                <w:rFonts w:ascii="Times New Roman" w:eastAsia="Times New Roman" w:hAnsi="Times New Roman" w:cs="Times New Roman"/>
                <w:color w:val="000000"/>
                <w:sz w:val="22"/>
                <w:szCs w:val="22"/>
                <w:shd w:val="clear" w:color="auto" w:fill="FFFFFF"/>
              </w:rPr>
              <w:t>24</w:t>
            </w:r>
          </w:p>
        </w:tc>
        <w:tc>
          <w:tcPr>
            <w:tcW w:w="1322" w:type="dxa"/>
            <w:tcBorders>
              <w:top w:val="nil"/>
              <w:left w:val="nil"/>
              <w:bottom w:val="nil"/>
              <w:right w:val="nil"/>
            </w:tcBorders>
            <w:shd w:val="clear" w:color="auto" w:fill="auto"/>
            <w:noWrap/>
            <w:vAlign w:val="bottom"/>
            <w:hideMark/>
          </w:tcPr>
          <w:p w14:paraId="2099EF0F" w14:textId="77777777" w:rsidR="00A14A03" w:rsidRPr="00062EAD" w:rsidRDefault="00A14A03" w:rsidP="00AE2262">
            <w:pPr>
              <w:spacing w:after="200" w:line="276" w:lineRule="auto"/>
              <w:rPr>
                <w:rFonts w:ascii="Times New Roman" w:eastAsia="Times New Roman" w:hAnsi="Times New Roman" w:cs="Times New Roman"/>
                <w:color w:val="000000"/>
                <w:sz w:val="22"/>
                <w:szCs w:val="22"/>
                <w:shd w:val="clear" w:color="auto" w:fill="FFFFFF"/>
              </w:rPr>
            </w:pPr>
            <w:r w:rsidRPr="00062EAD">
              <w:rPr>
                <w:rFonts w:ascii="Times New Roman" w:eastAsia="Times New Roman" w:hAnsi="Times New Roman" w:cs="Times New Roman"/>
                <w:color w:val="000000"/>
                <w:sz w:val="22"/>
                <w:szCs w:val="22"/>
                <w:shd w:val="clear" w:color="auto" w:fill="FFFFFF"/>
              </w:rPr>
              <w:t>1,402,083</w:t>
            </w:r>
          </w:p>
        </w:tc>
        <w:tc>
          <w:tcPr>
            <w:tcW w:w="1350" w:type="dxa"/>
            <w:tcBorders>
              <w:top w:val="nil"/>
              <w:left w:val="nil"/>
              <w:bottom w:val="nil"/>
              <w:right w:val="nil"/>
            </w:tcBorders>
            <w:shd w:val="clear" w:color="auto" w:fill="auto"/>
            <w:noWrap/>
            <w:vAlign w:val="bottom"/>
            <w:hideMark/>
          </w:tcPr>
          <w:p w14:paraId="4C74DD14" w14:textId="77777777" w:rsidR="00A14A03" w:rsidRPr="00062EAD" w:rsidRDefault="00A14A03" w:rsidP="00AE2262">
            <w:pPr>
              <w:spacing w:after="200" w:line="276" w:lineRule="auto"/>
              <w:rPr>
                <w:rFonts w:ascii="Times New Roman" w:eastAsia="Times New Roman" w:hAnsi="Times New Roman" w:cs="Times New Roman"/>
                <w:color w:val="000000"/>
                <w:sz w:val="22"/>
                <w:szCs w:val="22"/>
                <w:shd w:val="clear" w:color="auto" w:fill="FFFFFF"/>
              </w:rPr>
            </w:pPr>
            <w:r w:rsidRPr="00062EAD">
              <w:rPr>
                <w:rFonts w:ascii="Times New Roman" w:eastAsia="Times New Roman" w:hAnsi="Times New Roman" w:cs="Times New Roman"/>
                <w:color w:val="000000"/>
                <w:sz w:val="22"/>
                <w:szCs w:val="22"/>
                <w:shd w:val="clear" w:color="auto" w:fill="FFFFFF"/>
              </w:rPr>
              <w:t>872,500</w:t>
            </w:r>
          </w:p>
        </w:tc>
        <w:tc>
          <w:tcPr>
            <w:tcW w:w="810" w:type="dxa"/>
            <w:tcBorders>
              <w:top w:val="nil"/>
              <w:left w:val="nil"/>
              <w:bottom w:val="nil"/>
              <w:right w:val="nil"/>
            </w:tcBorders>
            <w:shd w:val="clear" w:color="auto" w:fill="auto"/>
            <w:noWrap/>
            <w:vAlign w:val="bottom"/>
            <w:hideMark/>
          </w:tcPr>
          <w:p w14:paraId="3A522D32" w14:textId="77777777" w:rsidR="00A14A03" w:rsidRPr="00062EAD" w:rsidRDefault="00A14A03" w:rsidP="00AE2262">
            <w:pPr>
              <w:spacing w:after="200" w:line="276" w:lineRule="auto"/>
              <w:rPr>
                <w:rFonts w:ascii="Times New Roman" w:eastAsia="Times New Roman" w:hAnsi="Times New Roman" w:cs="Times New Roman"/>
                <w:color w:val="000000"/>
                <w:sz w:val="22"/>
                <w:szCs w:val="22"/>
                <w:shd w:val="clear" w:color="auto" w:fill="FFFFFF"/>
              </w:rPr>
            </w:pPr>
            <w:r w:rsidRPr="00062EAD">
              <w:rPr>
                <w:rFonts w:ascii="Times New Roman" w:eastAsia="Times New Roman" w:hAnsi="Times New Roman" w:cs="Times New Roman"/>
                <w:color w:val="000000"/>
                <w:sz w:val="22"/>
                <w:szCs w:val="22"/>
                <w:shd w:val="clear" w:color="auto" w:fill="FFFFFF"/>
              </w:rPr>
              <w:t>0.2</w:t>
            </w:r>
          </w:p>
        </w:tc>
        <w:tc>
          <w:tcPr>
            <w:tcW w:w="990" w:type="dxa"/>
            <w:tcBorders>
              <w:top w:val="nil"/>
              <w:left w:val="nil"/>
              <w:bottom w:val="nil"/>
              <w:right w:val="nil"/>
            </w:tcBorders>
            <w:shd w:val="clear" w:color="auto" w:fill="auto"/>
            <w:noWrap/>
            <w:vAlign w:val="bottom"/>
            <w:hideMark/>
          </w:tcPr>
          <w:p w14:paraId="7D9CA456" w14:textId="77777777" w:rsidR="00A14A03" w:rsidRPr="00062EAD" w:rsidRDefault="00A14A03" w:rsidP="00AE2262">
            <w:pPr>
              <w:spacing w:after="200" w:line="276" w:lineRule="auto"/>
              <w:rPr>
                <w:rFonts w:ascii="Times New Roman" w:eastAsia="Times New Roman" w:hAnsi="Times New Roman" w:cs="Times New Roman"/>
                <w:color w:val="000000"/>
                <w:sz w:val="22"/>
                <w:szCs w:val="22"/>
                <w:shd w:val="clear" w:color="auto" w:fill="FFFFFF"/>
              </w:rPr>
            </w:pPr>
            <w:r w:rsidRPr="00062EAD">
              <w:rPr>
                <w:rFonts w:ascii="Times New Roman" w:eastAsia="Times New Roman" w:hAnsi="Times New Roman" w:cs="Times New Roman"/>
                <w:color w:val="000000"/>
                <w:sz w:val="22"/>
                <w:szCs w:val="22"/>
                <w:shd w:val="clear" w:color="auto" w:fill="FFFFFF"/>
              </w:rPr>
              <w:t>0.1</w:t>
            </w:r>
          </w:p>
        </w:tc>
      </w:tr>
      <w:tr w:rsidR="00A14A03" w:rsidRPr="00062EAD" w14:paraId="7C289F43" w14:textId="77777777" w:rsidTr="00AE2262">
        <w:trPr>
          <w:trHeight w:val="300"/>
        </w:trPr>
        <w:tc>
          <w:tcPr>
            <w:tcW w:w="915" w:type="dxa"/>
            <w:tcBorders>
              <w:top w:val="nil"/>
              <w:left w:val="nil"/>
              <w:bottom w:val="nil"/>
              <w:right w:val="nil"/>
            </w:tcBorders>
            <w:shd w:val="clear" w:color="auto" w:fill="auto"/>
            <w:noWrap/>
            <w:vAlign w:val="bottom"/>
            <w:hideMark/>
          </w:tcPr>
          <w:p w14:paraId="6CCC5C36" w14:textId="77777777" w:rsidR="00A14A03" w:rsidRPr="00062EAD" w:rsidRDefault="00A14A03" w:rsidP="00AE2262">
            <w:pPr>
              <w:spacing w:after="200" w:line="276" w:lineRule="auto"/>
              <w:rPr>
                <w:rFonts w:ascii="Times New Roman" w:eastAsia="Times New Roman" w:hAnsi="Times New Roman" w:cs="Times New Roman"/>
                <w:color w:val="000000"/>
                <w:sz w:val="22"/>
                <w:szCs w:val="22"/>
                <w:shd w:val="clear" w:color="auto" w:fill="FFFFFF"/>
              </w:rPr>
            </w:pPr>
            <w:r w:rsidRPr="00062EAD">
              <w:rPr>
                <w:rFonts w:ascii="Times New Roman" w:eastAsia="Times New Roman" w:hAnsi="Times New Roman" w:cs="Times New Roman"/>
                <w:color w:val="000000"/>
                <w:sz w:val="22"/>
                <w:szCs w:val="22"/>
                <w:shd w:val="clear" w:color="auto" w:fill="FFFFFF"/>
              </w:rPr>
              <w:t>70</w:t>
            </w:r>
          </w:p>
        </w:tc>
        <w:tc>
          <w:tcPr>
            <w:tcW w:w="4500" w:type="dxa"/>
            <w:tcBorders>
              <w:top w:val="nil"/>
              <w:left w:val="nil"/>
              <w:bottom w:val="nil"/>
              <w:right w:val="nil"/>
            </w:tcBorders>
            <w:shd w:val="clear" w:color="auto" w:fill="auto"/>
            <w:noWrap/>
            <w:vAlign w:val="bottom"/>
            <w:hideMark/>
          </w:tcPr>
          <w:p w14:paraId="76FA664B" w14:textId="77777777" w:rsidR="00A14A03" w:rsidRPr="00062EAD" w:rsidRDefault="00A14A03" w:rsidP="00AE2262">
            <w:pPr>
              <w:spacing w:after="200" w:line="276" w:lineRule="auto"/>
              <w:rPr>
                <w:rFonts w:ascii="Times New Roman" w:eastAsia="Times New Roman" w:hAnsi="Times New Roman" w:cs="Times New Roman"/>
                <w:color w:val="000000"/>
                <w:sz w:val="22"/>
                <w:szCs w:val="22"/>
                <w:shd w:val="clear" w:color="auto" w:fill="FFFFFF"/>
              </w:rPr>
            </w:pPr>
            <w:r w:rsidRPr="00062EAD">
              <w:rPr>
                <w:rFonts w:ascii="Times New Roman" w:eastAsia="Times New Roman" w:hAnsi="Times New Roman" w:cs="Times New Roman"/>
                <w:color w:val="000000"/>
                <w:sz w:val="22"/>
                <w:szCs w:val="22"/>
                <w:shd w:val="clear" w:color="auto" w:fill="FFFFFF"/>
              </w:rPr>
              <w:t>Hotels &amp; Other Lodging Places</w:t>
            </w:r>
          </w:p>
        </w:tc>
        <w:tc>
          <w:tcPr>
            <w:tcW w:w="1165" w:type="dxa"/>
            <w:tcBorders>
              <w:top w:val="nil"/>
              <w:left w:val="nil"/>
              <w:bottom w:val="nil"/>
              <w:right w:val="nil"/>
            </w:tcBorders>
            <w:shd w:val="clear" w:color="auto" w:fill="auto"/>
            <w:noWrap/>
            <w:vAlign w:val="bottom"/>
            <w:hideMark/>
          </w:tcPr>
          <w:p w14:paraId="7F3353FD" w14:textId="77777777" w:rsidR="00A14A03" w:rsidRPr="00062EAD" w:rsidRDefault="00A14A03" w:rsidP="00AE2262">
            <w:pPr>
              <w:spacing w:after="200" w:line="276" w:lineRule="auto"/>
              <w:rPr>
                <w:rFonts w:ascii="Times New Roman" w:eastAsia="Times New Roman" w:hAnsi="Times New Roman" w:cs="Times New Roman"/>
                <w:color w:val="000000"/>
                <w:sz w:val="22"/>
                <w:szCs w:val="22"/>
                <w:shd w:val="clear" w:color="auto" w:fill="FFFFFF"/>
              </w:rPr>
            </w:pPr>
            <w:r w:rsidRPr="00062EAD">
              <w:rPr>
                <w:rFonts w:ascii="Times New Roman" w:eastAsia="Times New Roman" w:hAnsi="Times New Roman" w:cs="Times New Roman"/>
                <w:color w:val="000000"/>
                <w:sz w:val="22"/>
                <w:szCs w:val="22"/>
                <w:shd w:val="clear" w:color="auto" w:fill="FFFFFF"/>
              </w:rPr>
              <w:t>16</w:t>
            </w:r>
          </w:p>
        </w:tc>
        <w:tc>
          <w:tcPr>
            <w:tcW w:w="1322" w:type="dxa"/>
            <w:tcBorders>
              <w:top w:val="nil"/>
              <w:left w:val="nil"/>
              <w:bottom w:val="nil"/>
              <w:right w:val="nil"/>
            </w:tcBorders>
            <w:shd w:val="clear" w:color="auto" w:fill="auto"/>
            <w:noWrap/>
            <w:vAlign w:val="bottom"/>
            <w:hideMark/>
          </w:tcPr>
          <w:p w14:paraId="6F29FDC7" w14:textId="77777777" w:rsidR="00A14A03" w:rsidRPr="00062EAD" w:rsidRDefault="00A14A03" w:rsidP="00AE2262">
            <w:pPr>
              <w:spacing w:after="200" w:line="276" w:lineRule="auto"/>
              <w:rPr>
                <w:rFonts w:ascii="Times New Roman" w:eastAsia="Times New Roman" w:hAnsi="Times New Roman" w:cs="Times New Roman"/>
                <w:color w:val="000000"/>
                <w:sz w:val="22"/>
                <w:szCs w:val="22"/>
                <w:shd w:val="clear" w:color="auto" w:fill="FFFFFF"/>
              </w:rPr>
            </w:pPr>
            <w:r w:rsidRPr="00062EAD">
              <w:rPr>
                <w:rFonts w:ascii="Times New Roman" w:eastAsia="Times New Roman" w:hAnsi="Times New Roman" w:cs="Times New Roman"/>
                <w:color w:val="000000"/>
                <w:sz w:val="22"/>
                <w:szCs w:val="22"/>
                <w:shd w:val="clear" w:color="auto" w:fill="FFFFFF"/>
              </w:rPr>
              <w:t>13,000,000</w:t>
            </w:r>
          </w:p>
        </w:tc>
        <w:tc>
          <w:tcPr>
            <w:tcW w:w="1350" w:type="dxa"/>
            <w:tcBorders>
              <w:top w:val="nil"/>
              <w:left w:val="nil"/>
              <w:bottom w:val="nil"/>
              <w:right w:val="nil"/>
            </w:tcBorders>
            <w:shd w:val="clear" w:color="auto" w:fill="auto"/>
            <w:noWrap/>
            <w:vAlign w:val="bottom"/>
            <w:hideMark/>
          </w:tcPr>
          <w:p w14:paraId="38F9B8A6" w14:textId="77777777" w:rsidR="00A14A03" w:rsidRPr="00062EAD" w:rsidRDefault="00A14A03" w:rsidP="00AE2262">
            <w:pPr>
              <w:spacing w:after="200" w:line="276" w:lineRule="auto"/>
              <w:rPr>
                <w:rFonts w:ascii="Times New Roman" w:eastAsia="Times New Roman" w:hAnsi="Times New Roman" w:cs="Times New Roman"/>
                <w:color w:val="000000"/>
                <w:sz w:val="22"/>
                <w:szCs w:val="22"/>
                <w:shd w:val="clear" w:color="auto" w:fill="FFFFFF"/>
              </w:rPr>
            </w:pPr>
            <w:r w:rsidRPr="00062EAD">
              <w:rPr>
                <w:rFonts w:ascii="Times New Roman" w:eastAsia="Times New Roman" w:hAnsi="Times New Roman" w:cs="Times New Roman"/>
                <w:color w:val="000000"/>
                <w:sz w:val="22"/>
                <w:szCs w:val="22"/>
                <w:shd w:val="clear" w:color="auto" w:fill="FFFFFF"/>
              </w:rPr>
              <w:t>12,900,000</w:t>
            </w:r>
          </w:p>
        </w:tc>
        <w:tc>
          <w:tcPr>
            <w:tcW w:w="810" w:type="dxa"/>
            <w:tcBorders>
              <w:top w:val="nil"/>
              <w:left w:val="nil"/>
              <w:bottom w:val="nil"/>
              <w:right w:val="nil"/>
            </w:tcBorders>
            <w:shd w:val="clear" w:color="auto" w:fill="auto"/>
            <w:noWrap/>
            <w:vAlign w:val="bottom"/>
            <w:hideMark/>
          </w:tcPr>
          <w:p w14:paraId="5F2D8DCC" w14:textId="77777777" w:rsidR="00A14A03" w:rsidRPr="00062EAD" w:rsidRDefault="00A14A03" w:rsidP="00AE2262">
            <w:pPr>
              <w:spacing w:after="200" w:line="276" w:lineRule="auto"/>
              <w:rPr>
                <w:rFonts w:ascii="Times New Roman" w:eastAsia="Times New Roman" w:hAnsi="Times New Roman" w:cs="Times New Roman"/>
                <w:color w:val="000000"/>
                <w:sz w:val="22"/>
                <w:szCs w:val="22"/>
                <w:shd w:val="clear" w:color="auto" w:fill="FFFFFF"/>
              </w:rPr>
            </w:pPr>
            <w:r w:rsidRPr="00062EAD">
              <w:rPr>
                <w:rFonts w:ascii="Times New Roman" w:eastAsia="Times New Roman" w:hAnsi="Times New Roman" w:cs="Times New Roman"/>
                <w:color w:val="000000"/>
                <w:sz w:val="22"/>
                <w:szCs w:val="22"/>
                <w:shd w:val="clear" w:color="auto" w:fill="FFFFFF"/>
              </w:rPr>
              <w:t>0.0</w:t>
            </w:r>
          </w:p>
        </w:tc>
        <w:tc>
          <w:tcPr>
            <w:tcW w:w="990" w:type="dxa"/>
            <w:tcBorders>
              <w:top w:val="nil"/>
              <w:left w:val="nil"/>
              <w:bottom w:val="nil"/>
              <w:right w:val="nil"/>
            </w:tcBorders>
            <w:shd w:val="clear" w:color="auto" w:fill="auto"/>
            <w:noWrap/>
            <w:vAlign w:val="bottom"/>
            <w:hideMark/>
          </w:tcPr>
          <w:p w14:paraId="71A5AE9D" w14:textId="77777777" w:rsidR="00A14A03" w:rsidRPr="00062EAD" w:rsidRDefault="00A14A03" w:rsidP="00AE2262">
            <w:pPr>
              <w:spacing w:after="200" w:line="276" w:lineRule="auto"/>
              <w:rPr>
                <w:rFonts w:ascii="Times New Roman" w:eastAsia="Times New Roman" w:hAnsi="Times New Roman" w:cs="Times New Roman"/>
                <w:color w:val="000000"/>
                <w:sz w:val="22"/>
                <w:szCs w:val="22"/>
                <w:shd w:val="clear" w:color="auto" w:fill="FFFFFF"/>
              </w:rPr>
            </w:pPr>
            <w:r w:rsidRPr="00062EAD">
              <w:rPr>
                <w:rFonts w:ascii="Times New Roman" w:eastAsia="Times New Roman" w:hAnsi="Times New Roman" w:cs="Times New Roman"/>
                <w:color w:val="000000"/>
                <w:sz w:val="22"/>
                <w:szCs w:val="22"/>
                <w:shd w:val="clear" w:color="auto" w:fill="FFFFFF"/>
              </w:rPr>
              <w:t>0.0</w:t>
            </w:r>
          </w:p>
        </w:tc>
      </w:tr>
      <w:tr w:rsidR="00A14A03" w:rsidRPr="00062EAD" w14:paraId="2F562041" w14:textId="77777777" w:rsidTr="00AE2262">
        <w:trPr>
          <w:trHeight w:val="300"/>
        </w:trPr>
        <w:tc>
          <w:tcPr>
            <w:tcW w:w="915" w:type="dxa"/>
            <w:tcBorders>
              <w:top w:val="nil"/>
              <w:left w:val="nil"/>
              <w:bottom w:val="nil"/>
              <w:right w:val="nil"/>
            </w:tcBorders>
            <w:shd w:val="clear" w:color="auto" w:fill="auto"/>
            <w:noWrap/>
            <w:vAlign w:val="bottom"/>
            <w:hideMark/>
          </w:tcPr>
          <w:p w14:paraId="3D72D2A3" w14:textId="77777777" w:rsidR="00A14A03" w:rsidRPr="00062EAD" w:rsidRDefault="00A14A03" w:rsidP="00AE2262">
            <w:pPr>
              <w:spacing w:after="200" w:line="276" w:lineRule="auto"/>
              <w:rPr>
                <w:rFonts w:ascii="Times New Roman" w:eastAsia="Times New Roman" w:hAnsi="Times New Roman" w:cs="Times New Roman"/>
                <w:color w:val="000000"/>
                <w:sz w:val="22"/>
                <w:szCs w:val="22"/>
                <w:shd w:val="clear" w:color="auto" w:fill="FFFFFF"/>
              </w:rPr>
            </w:pPr>
            <w:r w:rsidRPr="00062EAD">
              <w:rPr>
                <w:rFonts w:ascii="Times New Roman" w:eastAsia="Times New Roman" w:hAnsi="Times New Roman" w:cs="Times New Roman"/>
                <w:color w:val="000000"/>
                <w:sz w:val="22"/>
                <w:szCs w:val="22"/>
                <w:shd w:val="clear" w:color="auto" w:fill="FFFFFF"/>
              </w:rPr>
              <w:t>80</w:t>
            </w:r>
          </w:p>
        </w:tc>
        <w:tc>
          <w:tcPr>
            <w:tcW w:w="4500" w:type="dxa"/>
            <w:tcBorders>
              <w:top w:val="nil"/>
              <w:left w:val="nil"/>
              <w:bottom w:val="nil"/>
              <w:right w:val="nil"/>
            </w:tcBorders>
            <w:shd w:val="clear" w:color="auto" w:fill="auto"/>
            <w:noWrap/>
            <w:vAlign w:val="bottom"/>
            <w:hideMark/>
          </w:tcPr>
          <w:p w14:paraId="79079672" w14:textId="77777777" w:rsidR="00A14A03" w:rsidRPr="00062EAD" w:rsidRDefault="00A14A03" w:rsidP="00AE2262">
            <w:pPr>
              <w:spacing w:after="200" w:line="276" w:lineRule="auto"/>
              <w:rPr>
                <w:rFonts w:ascii="Times New Roman" w:eastAsia="Times New Roman" w:hAnsi="Times New Roman" w:cs="Times New Roman"/>
                <w:color w:val="000000"/>
                <w:sz w:val="22"/>
                <w:szCs w:val="22"/>
                <w:shd w:val="clear" w:color="auto" w:fill="FFFFFF"/>
              </w:rPr>
            </w:pPr>
            <w:r w:rsidRPr="00062EAD">
              <w:rPr>
                <w:rFonts w:ascii="Times New Roman" w:eastAsia="Times New Roman" w:hAnsi="Times New Roman" w:cs="Times New Roman"/>
                <w:color w:val="000000"/>
                <w:sz w:val="22"/>
                <w:szCs w:val="22"/>
                <w:shd w:val="clear" w:color="auto" w:fill="FFFFFF"/>
              </w:rPr>
              <w:t>Health Services</w:t>
            </w:r>
          </w:p>
        </w:tc>
        <w:tc>
          <w:tcPr>
            <w:tcW w:w="1165" w:type="dxa"/>
            <w:tcBorders>
              <w:top w:val="nil"/>
              <w:left w:val="nil"/>
              <w:bottom w:val="nil"/>
              <w:right w:val="nil"/>
            </w:tcBorders>
            <w:shd w:val="clear" w:color="auto" w:fill="auto"/>
            <w:noWrap/>
            <w:vAlign w:val="bottom"/>
            <w:hideMark/>
          </w:tcPr>
          <w:p w14:paraId="33238E73" w14:textId="77777777" w:rsidR="00A14A03" w:rsidRPr="00062EAD" w:rsidRDefault="00A14A03" w:rsidP="00AE2262">
            <w:pPr>
              <w:spacing w:after="200" w:line="276" w:lineRule="auto"/>
              <w:rPr>
                <w:rFonts w:ascii="Times New Roman" w:eastAsia="Times New Roman" w:hAnsi="Times New Roman" w:cs="Times New Roman"/>
                <w:color w:val="000000"/>
                <w:sz w:val="22"/>
                <w:szCs w:val="22"/>
                <w:shd w:val="clear" w:color="auto" w:fill="FFFFFF"/>
              </w:rPr>
            </w:pPr>
            <w:r w:rsidRPr="00062EAD">
              <w:rPr>
                <w:rFonts w:ascii="Times New Roman" w:eastAsia="Times New Roman" w:hAnsi="Times New Roman" w:cs="Times New Roman"/>
                <w:color w:val="000000"/>
                <w:sz w:val="22"/>
                <w:szCs w:val="22"/>
                <w:shd w:val="clear" w:color="auto" w:fill="FFFFFF"/>
              </w:rPr>
              <w:t>12</w:t>
            </w:r>
          </w:p>
        </w:tc>
        <w:tc>
          <w:tcPr>
            <w:tcW w:w="1322" w:type="dxa"/>
            <w:tcBorders>
              <w:top w:val="nil"/>
              <w:left w:val="nil"/>
              <w:bottom w:val="nil"/>
              <w:right w:val="nil"/>
            </w:tcBorders>
            <w:shd w:val="clear" w:color="auto" w:fill="auto"/>
            <w:noWrap/>
            <w:vAlign w:val="bottom"/>
            <w:hideMark/>
          </w:tcPr>
          <w:p w14:paraId="761C8F24" w14:textId="77777777" w:rsidR="00A14A03" w:rsidRPr="00062EAD" w:rsidRDefault="00A14A03" w:rsidP="00AE2262">
            <w:pPr>
              <w:spacing w:after="200" w:line="276" w:lineRule="auto"/>
              <w:rPr>
                <w:rFonts w:ascii="Times New Roman" w:eastAsia="Times New Roman" w:hAnsi="Times New Roman" w:cs="Times New Roman"/>
                <w:color w:val="000000"/>
                <w:sz w:val="22"/>
                <w:szCs w:val="22"/>
                <w:shd w:val="clear" w:color="auto" w:fill="FFFFFF"/>
              </w:rPr>
            </w:pPr>
            <w:r w:rsidRPr="00062EAD">
              <w:rPr>
                <w:rFonts w:ascii="Times New Roman" w:eastAsia="Times New Roman" w:hAnsi="Times New Roman" w:cs="Times New Roman"/>
                <w:color w:val="000000"/>
                <w:sz w:val="22"/>
                <w:szCs w:val="22"/>
                <w:shd w:val="clear" w:color="auto" w:fill="FFFFFF"/>
              </w:rPr>
              <w:t>115,833</w:t>
            </w:r>
          </w:p>
        </w:tc>
        <w:tc>
          <w:tcPr>
            <w:tcW w:w="1350" w:type="dxa"/>
            <w:tcBorders>
              <w:top w:val="nil"/>
              <w:left w:val="nil"/>
              <w:bottom w:val="nil"/>
              <w:right w:val="nil"/>
            </w:tcBorders>
            <w:shd w:val="clear" w:color="auto" w:fill="auto"/>
            <w:noWrap/>
            <w:vAlign w:val="bottom"/>
            <w:hideMark/>
          </w:tcPr>
          <w:p w14:paraId="40AC4F37" w14:textId="77777777" w:rsidR="00A14A03" w:rsidRPr="00062EAD" w:rsidRDefault="00A14A03" w:rsidP="00AE2262">
            <w:pPr>
              <w:spacing w:after="200" w:line="276" w:lineRule="auto"/>
              <w:rPr>
                <w:rFonts w:ascii="Times New Roman" w:eastAsia="Times New Roman" w:hAnsi="Times New Roman" w:cs="Times New Roman"/>
                <w:color w:val="000000"/>
                <w:sz w:val="22"/>
                <w:szCs w:val="22"/>
                <w:shd w:val="clear" w:color="auto" w:fill="FFFFFF"/>
              </w:rPr>
            </w:pPr>
            <w:r w:rsidRPr="00062EAD">
              <w:rPr>
                <w:rFonts w:ascii="Times New Roman" w:eastAsia="Times New Roman" w:hAnsi="Times New Roman" w:cs="Times New Roman"/>
                <w:color w:val="000000"/>
                <w:sz w:val="22"/>
                <w:szCs w:val="22"/>
                <w:shd w:val="clear" w:color="auto" w:fill="FFFFFF"/>
              </w:rPr>
              <w:t>120,000</w:t>
            </w:r>
          </w:p>
        </w:tc>
        <w:tc>
          <w:tcPr>
            <w:tcW w:w="810" w:type="dxa"/>
            <w:tcBorders>
              <w:top w:val="nil"/>
              <w:left w:val="nil"/>
              <w:bottom w:val="nil"/>
              <w:right w:val="nil"/>
            </w:tcBorders>
            <w:shd w:val="clear" w:color="auto" w:fill="auto"/>
            <w:noWrap/>
            <w:vAlign w:val="bottom"/>
            <w:hideMark/>
          </w:tcPr>
          <w:p w14:paraId="2D67C3A1" w14:textId="77777777" w:rsidR="00A14A03" w:rsidRPr="00062EAD" w:rsidRDefault="00A14A03" w:rsidP="00AE2262">
            <w:pPr>
              <w:spacing w:after="200" w:line="276" w:lineRule="auto"/>
              <w:rPr>
                <w:rFonts w:ascii="Times New Roman" w:eastAsia="Times New Roman" w:hAnsi="Times New Roman" w:cs="Times New Roman"/>
                <w:color w:val="000000"/>
                <w:sz w:val="22"/>
                <w:szCs w:val="22"/>
                <w:shd w:val="clear" w:color="auto" w:fill="FFFFFF"/>
              </w:rPr>
            </w:pPr>
            <w:r w:rsidRPr="00062EAD">
              <w:rPr>
                <w:rFonts w:ascii="Times New Roman" w:eastAsia="Times New Roman" w:hAnsi="Times New Roman" w:cs="Times New Roman"/>
                <w:color w:val="000000"/>
                <w:sz w:val="22"/>
                <w:szCs w:val="22"/>
                <w:shd w:val="clear" w:color="auto" w:fill="FFFFFF"/>
              </w:rPr>
              <w:t>2.3</w:t>
            </w:r>
          </w:p>
        </w:tc>
        <w:tc>
          <w:tcPr>
            <w:tcW w:w="990" w:type="dxa"/>
            <w:tcBorders>
              <w:top w:val="nil"/>
              <w:left w:val="nil"/>
              <w:bottom w:val="nil"/>
              <w:right w:val="nil"/>
            </w:tcBorders>
            <w:shd w:val="clear" w:color="auto" w:fill="auto"/>
            <w:noWrap/>
            <w:vAlign w:val="bottom"/>
            <w:hideMark/>
          </w:tcPr>
          <w:p w14:paraId="00C8B861" w14:textId="77777777" w:rsidR="00A14A03" w:rsidRPr="00062EAD" w:rsidRDefault="00A14A03" w:rsidP="00AE2262">
            <w:pPr>
              <w:spacing w:after="200" w:line="276" w:lineRule="auto"/>
              <w:rPr>
                <w:rFonts w:ascii="Times New Roman" w:eastAsia="Times New Roman" w:hAnsi="Times New Roman" w:cs="Times New Roman"/>
                <w:color w:val="000000"/>
                <w:sz w:val="22"/>
                <w:szCs w:val="22"/>
                <w:shd w:val="clear" w:color="auto" w:fill="FFFFFF"/>
              </w:rPr>
            </w:pPr>
            <w:r w:rsidRPr="00062EAD">
              <w:rPr>
                <w:rFonts w:ascii="Times New Roman" w:eastAsia="Times New Roman" w:hAnsi="Times New Roman" w:cs="Times New Roman"/>
                <w:color w:val="000000"/>
                <w:sz w:val="22"/>
                <w:szCs w:val="22"/>
                <w:shd w:val="clear" w:color="auto" w:fill="FFFFFF"/>
              </w:rPr>
              <w:t>0.0</w:t>
            </w:r>
          </w:p>
        </w:tc>
      </w:tr>
      <w:tr w:rsidR="00A14A03" w:rsidRPr="00062EAD" w14:paraId="296B13C6" w14:textId="77777777" w:rsidTr="00AE2262">
        <w:trPr>
          <w:trHeight w:val="300"/>
        </w:trPr>
        <w:tc>
          <w:tcPr>
            <w:tcW w:w="915" w:type="dxa"/>
            <w:tcBorders>
              <w:top w:val="nil"/>
              <w:left w:val="nil"/>
              <w:bottom w:val="nil"/>
              <w:right w:val="nil"/>
            </w:tcBorders>
            <w:shd w:val="clear" w:color="auto" w:fill="auto"/>
            <w:noWrap/>
            <w:vAlign w:val="bottom"/>
            <w:hideMark/>
          </w:tcPr>
          <w:p w14:paraId="16202E3D" w14:textId="77777777" w:rsidR="00A14A03" w:rsidRPr="00062EAD" w:rsidRDefault="00A14A03" w:rsidP="00AE2262">
            <w:pPr>
              <w:spacing w:after="200" w:line="276" w:lineRule="auto"/>
              <w:rPr>
                <w:rFonts w:ascii="Times New Roman" w:eastAsia="Times New Roman" w:hAnsi="Times New Roman" w:cs="Times New Roman"/>
                <w:color w:val="000000"/>
                <w:sz w:val="22"/>
                <w:szCs w:val="22"/>
                <w:shd w:val="clear" w:color="auto" w:fill="FFFFFF"/>
              </w:rPr>
            </w:pPr>
            <w:r w:rsidRPr="00062EAD">
              <w:rPr>
                <w:rFonts w:ascii="Times New Roman" w:eastAsia="Times New Roman" w:hAnsi="Times New Roman" w:cs="Times New Roman"/>
                <w:color w:val="000000"/>
                <w:sz w:val="22"/>
                <w:szCs w:val="22"/>
                <w:shd w:val="clear" w:color="auto" w:fill="FFFFFF"/>
              </w:rPr>
              <w:t>30</w:t>
            </w:r>
          </w:p>
        </w:tc>
        <w:tc>
          <w:tcPr>
            <w:tcW w:w="4500" w:type="dxa"/>
            <w:tcBorders>
              <w:top w:val="nil"/>
              <w:left w:val="nil"/>
              <w:bottom w:val="nil"/>
              <w:right w:val="nil"/>
            </w:tcBorders>
            <w:shd w:val="clear" w:color="auto" w:fill="auto"/>
            <w:noWrap/>
            <w:vAlign w:val="bottom"/>
            <w:hideMark/>
          </w:tcPr>
          <w:p w14:paraId="6B9AAA38" w14:textId="77777777" w:rsidR="00A14A03" w:rsidRPr="00062EAD" w:rsidRDefault="00A14A03" w:rsidP="00AE2262">
            <w:pPr>
              <w:spacing w:after="200" w:line="276" w:lineRule="auto"/>
              <w:rPr>
                <w:rFonts w:ascii="Times New Roman" w:eastAsia="Times New Roman" w:hAnsi="Times New Roman" w:cs="Times New Roman"/>
                <w:color w:val="000000"/>
                <w:sz w:val="22"/>
                <w:szCs w:val="22"/>
                <w:shd w:val="clear" w:color="auto" w:fill="FFFFFF"/>
              </w:rPr>
            </w:pPr>
            <w:r w:rsidRPr="00062EAD">
              <w:rPr>
                <w:rFonts w:ascii="Times New Roman" w:eastAsia="Times New Roman" w:hAnsi="Times New Roman" w:cs="Times New Roman"/>
                <w:color w:val="000000"/>
                <w:sz w:val="22"/>
                <w:szCs w:val="22"/>
                <w:shd w:val="clear" w:color="auto" w:fill="FFFFFF"/>
              </w:rPr>
              <w:t>Rubber &amp; Miscellaneous Plastics Products</w:t>
            </w:r>
          </w:p>
        </w:tc>
        <w:tc>
          <w:tcPr>
            <w:tcW w:w="1165" w:type="dxa"/>
            <w:tcBorders>
              <w:top w:val="nil"/>
              <w:left w:val="nil"/>
              <w:bottom w:val="nil"/>
              <w:right w:val="nil"/>
            </w:tcBorders>
            <w:shd w:val="clear" w:color="auto" w:fill="auto"/>
            <w:noWrap/>
            <w:vAlign w:val="bottom"/>
            <w:hideMark/>
          </w:tcPr>
          <w:p w14:paraId="2781168D" w14:textId="77777777" w:rsidR="00A14A03" w:rsidRPr="00062EAD" w:rsidRDefault="00A14A03" w:rsidP="00AE2262">
            <w:pPr>
              <w:spacing w:after="200" w:line="276" w:lineRule="auto"/>
              <w:rPr>
                <w:rFonts w:ascii="Times New Roman" w:eastAsia="Times New Roman" w:hAnsi="Times New Roman" w:cs="Times New Roman"/>
                <w:color w:val="000000"/>
                <w:sz w:val="22"/>
                <w:szCs w:val="22"/>
                <w:shd w:val="clear" w:color="auto" w:fill="FFFFFF"/>
              </w:rPr>
            </w:pPr>
            <w:r w:rsidRPr="00062EAD">
              <w:rPr>
                <w:rFonts w:ascii="Times New Roman" w:eastAsia="Times New Roman" w:hAnsi="Times New Roman" w:cs="Times New Roman"/>
                <w:color w:val="000000"/>
                <w:sz w:val="22"/>
                <w:szCs w:val="22"/>
                <w:shd w:val="clear" w:color="auto" w:fill="FFFFFF"/>
              </w:rPr>
              <w:t>10</w:t>
            </w:r>
          </w:p>
        </w:tc>
        <w:tc>
          <w:tcPr>
            <w:tcW w:w="1322" w:type="dxa"/>
            <w:tcBorders>
              <w:top w:val="nil"/>
              <w:left w:val="nil"/>
              <w:bottom w:val="nil"/>
              <w:right w:val="nil"/>
            </w:tcBorders>
            <w:shd w:val="clear" w:color="auto" w:fill="auto"/>
            <w:noWrap/>
            <w:vAlign w:val="bottom"/>
            <w:hideMark/>
          </w:tcPr>
          <w:p w14:paraId="1E4AE62F" w14:textId="77777777" w:rsidR="00A14A03" w:rsidRPr="00062EAD" w:rsidRDefault="00A14A03" w:rsidP="00AE2262">
            <w:pPr>
              <w:spacing w:after="200" w:line="276" w:lineRule="auto"/>
              <w:rPr>
                <w:rFonts w:ascii="Times New Roman" w:eastAsia="Times New Roman" w:hAnsi="Times New Roman" w:cs="Times New Roman"/>
                <w:color w:val="000000"/>
                <w:sz w:val="22"/>
                <w:szCs w:val="22"/>
                <w:shd w:val="clear" w:color="auto" w:fill="FFFFFF"/>
              </w:rPr>
            </w:pPr>
            <w:r w:rsidRPr="00062EAD">
              <w:rPr>
                <w:rFonts w:ascii="Times New Roman" w:eastAsia="Times New Roman" w:hAnsi="Times New Roman" w:cs="Times New Roman"/>
                <w:color w:val="000000"/>
                <w:sz w:val="22"/>
                <w:szCs w:val="22"/>
                <w:shd w:val="clear" w:color="auto" w:fill="FFFFFF"/>
              </w:rPr>
              <w:t>87,500</w:t>
            </w:r>
          </w:p>
        </w:tc>
        <w:tc>
          <w:tcPr>
            <w:tcW w:w="1350" w:type="dxa"/>
            <w:tcBorders>
              <w:top w:val="nil"/>
              <w:left w:val="nil"/>
              <w:bottom w:val="nil"/>
              <w:right w:val="nil"/>
            </w:tcBorders>
            <w:shd w:val="clear" w:color="auto" w:fill="auto"/>
            <w:noWrap/>
            <w:vAlign w:val="bottom"/>
            <w:hideMark/>
          </w:tcPr>
          <w:p w14:paraId="3A6D4D13" w14:textId="77777777" w:rsidR="00A14A03" w:rsidRPr="00062EAD" w:rsidRDefault="00A14A03" w:rsidP="00AE2262">
            <w:pPr>
              <w:spacing w:after="200" w:line="276" w:lineRule="auto"/>
              <w:rPr>
                <w:rFonts w:ascii="Times New Roman" w:eastAsia="Times New Roman" w:hAnsi="Times New Roman" w:cs="Times New Roman"/>
                <w:color w:val="000000"/>
                <w:sz w:val="22"/>
                <w:szCs w:val="22"/>
                <w:shd w:val="clear" w:color="auto" w:fill="FFFFFF"/>
              </w:rPr>
            </w:pPr>
            <w:r w:rsidRPr="00062EAD">
              <w:rPr>
                <w:rFonts w:ascii="Times New Roman" w:eastAsia="Times New Roman" w:hAnsi="Times New Roman" w:cs="Times New Roman"/>
                <w:color w:val="000000"/>
                <w:sz w:val="22"/>
                <w:szCs w:val="22"/>
                <w:shd w:val="clear" w:color="auto" w:fill="FFFFFF"/>
              </w:rPr>
              <w:t>80,000</w:t>
            </w:r>
          </w:p>
        </w:tc>
        <w:tc>
          <w:tcPr>
            <w:tcW w:w="810" w:type="dxa"/>
            <w:tcBorders>
              <w:top w:val="nil"/>
              <w:left w:val="nil"/>
              <w:bottom w:val="nil"/>
              <w:right w:val="nil"/>
            </w:tcBorders>
            <w:shd w:val="clear" w:color="auto" w:fill="auto"/>
            <w:noWrap/>
            <w:vAlign w:val="bottom"/>
            <w:hideMark/>
          </w:tcPr>
          <w:p w14:paraId="0E32ADFE" w14:textId="77777777" w:rsidR="00A14A03" w:rsidRPr="00062EAD" w:rsidRDefault="00A14A03" w:rsidP="00AE2262">
            <w:pPr>
              <w:spacing w:after="200" w:line="276" w:lineRule="auto"/>
              <w:rPr>
                <w:rFonts w:ascii="Times New Roman" w:eastAsia="Times New Roman" w:hAnsi="Times New Roman" w:cs="Times New Roman"/>
                <w:color w:val="000000"/>
                <w:sz w:val="22"/>
                <w:szCs w:val="22"/>
                <w:shd w:val="clear" w:color="auto" w:fill="FFFFFF"/>
              </w:rPr>
            </w:pPr>
            <w:r w:rsidRPr="00062EAD">
              <w:rPr>
                <w:rFonts w:ascii="Times New Roman" w:eastAsia="Times New Roman" w:hAnsi="Times New Roman" w:cs="Times New Roman"/>
                <w:color w:val="000000"/>
                <w:sz w:val="22"/>
                <w:szCs w:val="22"/>
                <w:shd w:val="clear" w:color="auto" w:fill="FFFFFF"/>
              </w:rPr>
              <w:t>1.1</w:t>
            </w:r>
          </w:p>
        </w:tc>
        <w:tc>
          <w:tcPr>
            <w:tcW w:w="990" w:type="dxa"/>
            <w:tcBorders>
              <w:top w:val="nil"/>
              <w:left w:val="nil"/>
              <w:bottom w:val="nil"/>
              <w:right w:val="nil"/>
            </w:tcBorders>
            <w:shd w:val="clear" w:color="auto" w:fill="auto"/>
            <w:noWrap/>
            <w:vAlign w:val="bottom"/>
            <w:hideMark/>
          </w:tcPr>
          <w:p w14:paraId="4949A5D1" w14:textId="77777777" w:rsidR="00A14A03" w:rsidRPr="00062EAD" w:rsidRDefault="00A14A03" w:rsidP="00AE2262">
            <w:pPr>
              <w:spacing w:after="200" w:line="276" w:lineRule="auto"/>
              <w:rPr>
                <w:rFonts w:ascii="Times New Roman" w:eastAsia="Times New Roman" w:hAnsi="Times New Roman" w:cs="Times New Roman"/>
                <w:color w:val="000000"/>
                <w:sz w:val="22"/>
                <w:szCs w:val="22"/>
                <w:shd w:val="clear" w:color="auto" w:fill="FFFFFF"/>
              </w:rPr>
            </w:pPr>
            <w:r w:rsidRPr="00062EAD">
              <w:rPr>
                <w:rFonts w:ascii="Times New Roman" w:eastAsia="Times New Roman" w:hAnsi="Times New Roman" w:cs="Times New Roman"/>
                <w:color w:val="000000"/>
                <w:sz w:val="22"/>
                <w:szCs w:val="22"/>
                <w:shd w:val="clear" w:color="auto" w:fill="FFFFFF"/>
              </w:rPr>
              <w:t>1.2</w:t>
            </w:r>
          </w:p>
        </w:tc>
      </w:tr>
      <w:tr w:rsidR="00A14A03" w:rsidRPr="00062EAD" w14:paraId="2B4583F4" w14:textId="77777777" w:rsidTr="00AE2262">
        <w:trPr>
          <w:trHeight w:val="300"/>
        </w:trPr>
        <w:tc>
          <w:tcPr>
            <w:tcW w:w="915" w:type="dxa"/>
            <w:tcBorders>
              <w:top w:val="nil"/>
              <w:left w:val="nil"/>
              <w:bottom w:val="nil"/>
              <w:right w:val="nil"/>
            </w:tcBorders>
            <w:shd w:val="clear" w:color="auto" w:fill="auto"/>
            <w:noWrap/>
            <w:vAlign w:val="bottom"/>
            <w:hideMark/>
          </w:tcPr>
          <w:p w14:paraId="0BE26C66" w14:textId="77777777" w:rsidR="00A14A03" w:rsidRPr="00062EAD" w:rsidRDefault="00A14A03" w:rsidP="00AE2262">
            <w:pPr>
              <w:spacing w:after="200" w:line="276" w:lineRule="auto"/>
              <w:rPr>
                <w:rFonts w:ascii="Times New Roman" w:eastAsia="Times New Roman" w:hAnsi="Times New Roman" w:cs="Times New Roman"/>
                <w:color w:val="000000"/>
                <w:sz w:val="22"/>
                <w:szCs w:val="22"/>
                <w:shd w:val="clear" w:color="auto" w:fill="FFFFFF"/>
              </w:rPr>
            </w:pPr>
            <w:r w:rsidRPr="00062EAD">
              <w:rPr>
                <w:rFonts w:ascii="Times New Roman" w:eastAsia="Times New Roman" w:hAnsi="Times New Roman" w:cs="Times New Roman"/>
                <w:color w:val="000000"/>
                <w:sz w:val="22"/>
                <w:szCs w:val="22"/>
                <w:shd w:val="clear" w:color="auto" w:fill="FFFFFF"/>
              </w:rPr>
              <w:t>39</w:t>
            </w:r>
          </w:p>
        </w:tc>
        <w:tc>
          <w:tcPr>
            <w:tcW w:w="4500" w:type="dxa"/>
            <w:tcBorders>
              <w:top w:val="nil"/>
              <w:left w:val="nil"/>
              <w:bottom w:val="nil"/>
              <w:right w:val="nil"/>
            </w:tcBorders>
            <w:shd w:val="clear" w:color="auto" w:fill="auto"/>
            <w:noWrap/>
            <w:vAlign w:val="bottom"/>
            <w:hideMark/>
          </w:tcPr>
          <w:p w14:paraId="086533E3" w14:textId="77777777" w:rsidR="00A14A03" w:rsidRPr="00062EAD" w:rsidRDefault="00A14A03" w:rsidP="00AE2262">
            <w:pPr>
              <w:spacing w:after="200" w:line="276" w:lineRule="auto"/>
              <w:rPr>
                <w:rFonts w:ascii="Times New Roman" w:eastAsia="Times New Roman" w:hAnsi="Times New Roman" w:cs="Times New Roman"/>
                <w:color w:val="000000"/>
                <w:sz w:val="22"/>
                <w:szCs w:val="22"/>
                <w:shd w:val="clear" w:color="auto" w:fill="FFFFFF"/>
              </w:rPr>
            </w:pPr>
            <w:r w:rsidRPr="00062EAD">
              <w:rPr>
                <w:rFonts w:ascii="Times New Roman" w:eastAsia="Times New Roman" w:hAnsi="Times New Roman" w:cs="Times New Roman"/>
                <w:color w:val="000000"/>
                <w:sz w:val="22"/>
                <w:szCs w:val="22"/>
                <w:shd w:val="clear" w:color="auto" w:fill="FFFFFF"/>
              </w:rPr>
              <w:t>Miscellaneous Manufacturing Industries</w:t>
            </w:r>
          </w:p>
        </w:tc>
        <w:tc>
          <w:tcPr>
            <w:tcW w:w="1165" w:type="dxa"/>
            <w:tcBorders>
              <w:top w:val="nil"/>
              <w:left w:val="nil"/>
              <w:bottom w:val="nil"/>
              <w:right w:val="nil"/>
            </w:tcBorders>
            <w:shd w:val="clear" w:color="auto" w:fill="auto"/>
            <w:noWrap/>
            <w:vAlign w:val="bottom"/>
            <w:hideMark/>
          </w:tcPr>
          <w:p w14:paraId="2D845319" w14:textId="77777777" w:rsidR="00A14A03" w:rsidRPr="00062EAD" w:rsidRDefault="00A14A03" w:rsidP="00AE2262">
            <w:pPr>
              <w:spacing w:after="200" w:line="276" w:lineRule="auto"/>
              <w:rPr>
                <w:rFonts w:ascii="Times New Roman" w:eastAsia="Times New Roman" w:hAnsi="Times New Roman" w:cs="Times New Roman"/>
                <w:color w:val="000000"/>
                <w:sz w:val="22"/>
                <w:szCs w:val="22"/>
                <w:shd w:val="clear" w:color="auto" w:fill="FFFFFF"/>
              </w:rPr>
            </w:pPr>
            <w:r w:rsidRPr="00062EAD">
              <w:rPr>
                <w:rFonts w:ascii="Times New Roman" w:eastAsia="Times New Roman" w:hAnsi="Times New Roman" w:cs="Times New Roman"/>
                <w:color w:val="000000"/>
                <w:sz w:val="22"/>
                <w:szCs w:val="22"/>
                <w:shd w:val="clear" w:color="auto" w:fill="FFFFFF"/>
              </w:rPr>
              <w:t>9</w:t>
            </w:r>
          </w:p>
        </w:tc>
        <w:tc>
          <w:tcPr>
            <w:tcW w:w="1322" w:type="dxa"/>
            <w:tcBorders>
              <w:top w:val="nil"/>
              <w:left w:val="nil"/>
              <w:bottom w:val="nil"/>
              <w:right w:val="nil"/>
            </w:tcBorders>
            <w:shd w:val="clear" w:color="auto" w:fill="auto"/>
            <w:noWrap/>
            <w:vAlign w:val="bottom"/>
            <w:hideMark/>
          </w:tcPr>
          <w:p w14:paraId="4874B26F" w14:textId="77777777" w:rsidR="00A14A03" w:rsidRPr="00062EAD" w:rsidRDefault="00A14A03" w:rsidP="00AE2262">
            <w:pPr>
              <w:spacing w:after="200" w:line="276" w:lineRule="auto"/>
              <w:rPr>
                <w:rFonts w:ascii="Times New Roman" w:eastAsia="Times New Roman" w:hAnsi="Times New Roman" w:cs="Times New Roman"/>
                <w:color w:val="000000"/>
                <w:sz w:val="22"/>
                <w:szCs w:val="22"/>
                <w:shd w:val="clear" w:color="auto" w:fill="FFFFFF"/>
              </w:rPr>
            </w:pPr>
            <w:r w:rsidRPr="00062EAD">
              <w:rPr>
                <w:rFonts w:ascii="Times New Roman" w:eastAsia="Times New Roman" w:hAnsi="Times New Roman" w:cs="Times New Roman"/>
                <w:color w:val="000000"/>
                <w:sz w:val="22"/>
                <w:szCs w:val="22"/>
                <w:shd w:val="clear" w:color="auto" w:fill="FFFFFF"/>
              </w:rPr>
              <w:t>140,000</w:t>
            </w:r>
          </w:p>
        </w:tc>
        <w:tc>
          <w:tcPr>
            <w:tcW w:w="1350" w:type="dxa"/>
            <w:tcBorders>
              <w:top w:val="nil"/>
              <w:left w:val="nil"/>
              <w:bottom w:val="nil"/>
              <w:right w:val="nil"/>
            </w:tcBorders>
            <w:shd w:val="clear" w:color="auto" w:fill="auto"/>
            <w:noWrap/>
            <w:vAlign w:val="bottom"/>
            <w:hideMark/>
          </w:tcPr>
          <w:p w14:paraId="3FEE29AF" w14:textId="77777777" w:rsidR="00A14A03" w:rsidRPr="00062EAD" w:rsidRDefault="00A14A03" w:rsidP="00AE2262">
            <w:pPr>
              <w:spacing w:after="200" w:line="276" w:lineRule="auto"/>
              <w:rPr>
                <w:rFonts w:ascii="Times New Roman" w:eastAsia="Times New Roman" w:hAnsi="Times New Roman" w:cs="Times New Roman"/>
                <w:color w:val="000000"/>
                <w:sz w:val="22"/>
                <w:szCs w:val="22"/>
                <w:shd w:val="clear" w:color="auto" w:fill="FFFFFF"/>
              </w:rPr>
            </w:pPr>
            <w:r w:rsidRPr="00062EAD">
              <w:rPr>
                <w:rFonts w:ascii="Times New Roman" w:eastAsia="Times New Roman" w:hAnsi="Times New Roman" w:cs="Times New Roman"/>
                <w:color w:val="000000"/>
                <w:sz w:val="22"/>
                <w:szCs w:val="22"/>
                <w:shd w:val="clear" w:color="auto" w:fill="FFFFFF"/>
              </w:rPr>
              <w:t>160,000</w:t>
            </w:r>
          </w:p>
        </w:tc>
        <w:tc>
          <w:tcPr>
            <w:tcW w:w="810" w:type="dxa"/>
            <w:tcBorders>
              <w:top w:val="nil"/>
              <w:left w:val="nil"/>
              <w:bottom w:val="nil"/>
              <w:right w:val="nil"/>
            </w:tcBorders>
            <w:shd w:val="clear" w:color="auto" w:fill="auto"/>
            <w:noWrap/>
            <w:vAlign w:val="bottom"/>
            <w:hideMark/>
          </w:tcPr>
          <w:p w14:paraId="2EC204DA" w14:textId="77777777" w:rsidR="00A14A03" w:rsidRPr="00062EAD" w:rsidRDefault="00A14A03" w:rsidP="00AE2262">
            <w:pPr>
              <w:spacing w:after="200" w:line="276" w:lineRule="auto"/>
              <w:rPr>
                <w:rFonts w:ascii="Times New Roman" w:eastAsia="Times New Roman" w:hAnsi="Times New Roman" w:cs="Times New Roman"/>
                <w:color w:val="000000"/>
                <w:sz w:val="22"/>
                <w:szCs w:val="22"/>
                <w:shd w:val="clear" w:color="auto" w:fill="FFFFFF"/>
              </w:rPr>
            </w:pPr>
            <w:r w:rsidRPr="00062EAD">
              <w:rPr>
                <w:rFonts w:ascii="Times New Roman" w:eastAsia="Times New Roman" w:hAnsi="Times New Roman" w:cs="Times New Roman"/>
                <w:color w:val="000000"/>
                <w:sz w:val="22"/>
                <w:szCs w:val="22"/>
                <w:shd w:val="clear" w:color="auto" w:fill="FFFFFF"/>
              </w:rPr>
              <w:t>7.6</w:t>
            </w:r>
          </w:p>
        </w:tc>
        <w:tc>
          <w:tcPr>
            <w:tcW w:w="990" w:type="dxa"/>
            <w:tcBorders>
              <w:top w:val="nil"/>
              <w:left w:val="nil"/>
              <w:bottom w:val="nil"/>
              <w:right w:val="nil"/>
            </w:tcBorders>
            <w:shd w:val="clear" w:color="auto" w:fill="auto"/>
            <w:noWrap/>
            <w:vAlign w:val="bottom"/>
            <w:hideMark/>
          </w:tcPr>
          <w:p w14:paraId="6440F6B6" w14:textId="77777777" w:rsidR="00A14A03" w:rsidRPr="00062EAD" w:rsidRDefault="00A14A03" w:rsidP="00AE2262">
            <w:pPr>
              <w:spacing w:after="200" w:line="276" w:lineRule="auto"/>
              <w:rPr>
                <w:rFonts w:ascii="Times New Roman" w:eastAsia="Times New Roman" w:hAnsi="Times New Roman" w:cs="Times New Roman"/>
                <w:color w:val="000000"/>
                <w:sz w:val="22"/>
                <w:szCs w:val="22"/>
                <w:shd w:val="clear" w:color="auto" w:fill="FFFFFF"/>
              </w:rPr>
            </w:pPr>
            <w:r w:rsidRPr="00062EAD">
              <w:rPr>
                <w:rFonts w:ascii="Times New Roman" w:eastAsia="Times New Roman" w:hAnsi="Times New Roman" w:cs="Times New Roman"/>
                <w:color w:val="000000"/>
                <w:sz w:val="22"/>
                <w:szCs w:val="22"/>
                <w:shd w:val="clear" w:color="auto" w:fill="FFFFFF"/>
              </w:rPr>
              <w:t>7.1</w:t>
            </w:r>
          </w:p>
        </w:tc>
      </w:tr>
      <w:tr w:rsidR="00A14A03" w:rsidRPr="00062EAD" w14:paraId="593A8355" w14:textId="77777777" w:rsidTr="00AE2262">
        <w:trPr>
          <w:trHeight w:val="300"/>
        </w:trPr>
        <w:tc>
          <w:tcPr>
            <w:tcW w:w="915" w:type="dxa"/>
            <w:tcBorders>
              <w:top w:val="nil"/>
              <w:left w:val="nil"/>
              <w:bottom w:val="nil"/>
              <w:right w:val="nil"/>
            </w:tcBorders>
            <w:shd w:val="clear" w:color="auto" w:fill="auto"/>
            <w:noWrap/>
            <w:vAlign w:val="bottom"/>
            <w:hideMark/>
          </w:tcPr>
          <w:p w14:paraId="24E3E755" w14:textId="77777777" w:rsidR="00A14A03" w:rsidRPr="00062EAD" w:rsidRDefault="00A14A03" w:rsidP="00AE2262">
            <w:pPr>
              <w:spacing w:after="200" w:line="276" w:lineRule="auto"/>
              <w:rPr>
                <w:rFonts w:ascii="Times New Roman" w:eastAsia="Times New Roman" w:hAnsi="Times New Roman" w:cs="Times New Roman"/>
                <w:color w:val="000000"/>
                <w:sz w:val="22"/>
                <w:szCs w:val="22"/>
                <w:shd w:val="clear" w:color="auto" w:fill="FFFFFF"/>
              </w:rPr>
            </w:pPr>
            <w:r w:rsidRPr="00062EAD">
              <w:rPr>
                <w:rFonts w:ascii="Times New Roman" w:eastAsia="Times New Roman" w:hAnsi="Times New Roman" w:cs="Times New Roman"/>
                <w:color w:val="000000"/>
                <w:sz w:val="22"/>
                <w:szCs w:val="22"/>
                <w:shd w:val="clear" w:color="auto" w:fill="FFFFFF"/>
              </w:rPr>
              <w:t>59</w:t>
            </w:r>
          </w:p>
        </w:tc>
        <w:tc>
          <w:tcPr>
            <w:tcW w:w="4500" w:type="dxa"/>
            <w:tcBorders>
              <w:top w:val="nil"/>
              <w:left w:val="nil"/>
              <w:bottom w:val="nil"/>
              <w:right w:val="nil"/>
            </w:tcBorders>
            <w:shd w:val="clear" w:color="auto" w:fill="auto"/>
            <w:noWrap/>
            <w:vAlign w:val="bottom"/>
            <w:hideMark/>
          </w:tcPr>
          <w:p w14:paraId="562E6A7D" w14:textId="77777777" w:rsidR="00A14A03" w:rsidRPr="00062EAD" w:rsidRDefault="00A14A03" w:rsidP="00AE2262">
            <w:pPr>
              <w:spacing w:after="200" w:line="276" w:lineRule="auto"/>
              <w:rPr>
                <w:rFonts w:ascii="Times New Roman" w:eastAsia="Times New Roman" w:hAnsi="Times New Roman" w:cs="Times New Roman"/>
                <w:color w:val="000000"/>
                <w:sz w:val="22"/>
                <w:szCs w:val="22"/>
                <w:shd w:val="clear" w:color="auto" w:fill="FFFFFF"/>
              </w:rPr>
            </w:pPr>
            <w:r w:rsidRPr="00062EAD">
              <w:rPr>
                <w:rFonts w:ascii="Times New Roman" w:eastAsia="Times New Roman" w:hAnsi="Times New Roman" w:cs="Times New Roman"/>
                <w:color w:val="000000"/>
                <w:sz w:val="22"/>
                <w:szCs w:val="22"/>
                <w:shd w:val="clear" w:color="auto" w:fill="FFFFFF"/>
              </w:rPr>
              <w:t>Miscellaneous Retail</w:t>
            </w:r>
          </w:p>
        </w:tc>
        <w:tc>
          <w:tcPr>
            <w:tcW w:w="1165" w:type="dxa"/>
            <w:tcBorders>
              <w:top w:val="nil"/>
              <w:left w:val="nil"/>
              <w:bottom w:val="nil"/>
              <w:right w:val="nil"/>
            </w:tcBorders>
            <w:shd w:val="clear" w:color="auto" w:fill="auto"/>
            <w:noWrap/>
            <w:vAlign w:val="bottom"/>
            <w:hideMark/>
          </w:tcPr>
          <w:p w14:paraId="4DB8299B" w14:textId="77777777" w:rsidR="00A14A03" w:rsidRPr="00062EAD" w:rsidRDefault="00A14A03" w:rsidP="00AE2262">
            <w:pPr>
              <w:spacing w:after="200" w:line="276" w:lineRule="auto"/>
              <w:rPr>
                <w:rFonts w:ascii="Times New Roman" w:eastAsia="Times New Roman" w:hAnsi="Times New Roman" w:cs="Times New Roman"/>
                <w:color w:val="000000"/>
                <w:sz w:val="22"/>
                <w:szCs w:val="22"/>
                <w:shd w:val="clear" w:color="auto" w:fill="FFFFFF"/>
              </w:rPr>
            </w:pPr>
            <w:r w:rsidRPr="00062EAD">
              <w:rPr>
                <w:rFonts w:ascii="Times New Roman" w:eastAsia="Times New Roman" w:hAnsi="Times New Roman" w:cs="Times New Roman"/>
                <w:color w:val="000000"/>
                <w:sz w:val="22"/>
                <w:szCs w:val="22"/>
                <w:shd w:val="clear" w:color="auto" w:fill="FFFFFF"/>
              </w:rPr>
              <w:t>9</w:t>
            </w:r>
          </w:p>
        </w:tc>
        <w:tc>
          <w:tcPr>
            <w:tcW w:w="1322" w:type="dxa"/>
            <w:tcBorders>
              <w:top w:val="nil"/>
              <w:left w:val="nil"/>
              <w:bottom w:val="nil"/>
              <w:right w:val="nil"/>
            </w:tcBorders>
            <w:shd w:val="clear" w:color="auto" w:fill="auto"/>
            <w:noWrap/>
            <w:vAlign w:val="bottom"/>
            <w:hideMark/>
          </w:tcPr>
          <w:p w14:paraId="2D21043D" w14:textId="77777777" w:rsidR="00A14A03" w:rsidRPr="00062EAD" w:rsidRDefault="00A14A03" w:rsidP="00AE2262">
            <w:pPr>
              <w:spacing w:after="200" w:line="276" w:lineRule="auto"/>
              <w:rPr>
                <w:rFonts w:ascii="Times New Roman" w:eastAsia="Times New Roman" w:hAnsi="Times New Roman" w:cs="Times New Roman"/>
                <w:color w:val="000000"/>
                <w:sz w:val="22"/>
                <w:szCs w:val="22"/>
                <w:shd w:val="clear" w:color="auto" w:fill="FFFFFF"/>
              </w:rPr>
            </w:pPr>
            <w:r w:rsidRPr="00062EAD">
              <w:rPr>
                <w:rFonts w:ascii="Times New Roman" w:eastAsia="Times New Roman" w:hAnsi="Times New Roman" w:cs="Times New Roman"/>
                <w:color w:val="000000"/>
                <w:sz w:val="22"/>
                <w:szCs w:val="22"/>
                <w:shd w:val="clear" w:color="auto" w:fill="FFFFFF"/>
              </w:rPr>
              <w:t>114,444</w:t>
            </w:r>
          </w:p>
        </w:tc>
        <w:tc>
          <w:tcPr>
            <w:tcW w:w="1350" w:type="dxa"/>
            <w:tcBorders>
              <w:top w:val="nil"/>
              <w:left w:val="nil"/>
              <w:bottom w:val="nil"/>
              <w:right w:val="nil"/>
            </w:tcBorders>
            <w:shd w:val="clear" w:color="auto" w:fill="auto"/>
            <w:noWrap/>
            <w:vAlign w:val="bottom"/>
            <w:hideMark/>
          </w:tcPr>
          <w:p w14:paraId="66AC6556" w14:textId="77777777" w:rsidR="00A14A03" w:rsidRPr="00062EAD" w:rsidRDefault="00A14A03" w:rsidP="00AE2262">
            <w:pPr>
              <w:spacing w:after="200" w:line="276" w:lineRule="auto"/>
              <w:rPr>
                <w:rFonts w:ascii="Times New Roman" w:eastAsia="Times New Roman" w:hAnsi="Times New Roman" w:cs="Times New Roman"/>
                <w:color w:val="000000"/>
                <w:sz w:val="22"/>
                <w:szCs w:val="22"/>
                <w:shd w:val="clear" w:color="auto" w:fill="FFFFFF"/>
              </w:rPr>
            </w:pPr>
            <w:r w:rsidRPr="00062EAD">
              <w:rPr>
                <w:rFonts w:ascii="Times New Roman" w:eastAsia="Times New Roman" w:hAnsi="Times New Roman" w:cs="Times New Roman"/>
                <w:color w:val="000000"/>
                <w:sz w:val="22"/>
                <w:szCs w:val="22"/>
                <w:shd w:val="clear" w:color="auto" w:fill="FFFFFF"/>
              </w:rPr>
              <w:t>120,000</w:t>
            </w:r>
          </w:p>
        </w:tc>
        <w:tc>
          <w:tcPr>
            <w:tcW w:w="810" w:type="dxa"/>
            <w:tcBorders>
              <w:top w:val="nil"/>
              <w:left w:val="nil"/>
              <w:bottom w:val="nil"/>
              <w:right w:val="nil"/>
            </w:tcBorders>
            <w:shd w:val="clear" w:color="auto" w:fill="auto"/>
            <w:noWrap/>
            <w:vAlign w:val="bottom"/>
            <w:hideMark/>
          </w:tcPr>
          <w:p w14:paraId="7EB87186" w14:textId="77777777" w:rsidR="00A14A03" w:rsidRPr="00062EAD" w:rsidRDefault="00A14A03" w:rsidP="00AE2262">
            <w:pPr>
              <w:spacing w:after="200" w:line="276" w:lineRule="auto"/>
              <w:rPr>
                <w:rFonts w:ascii="Times New Roman" w:eastAsia="Times New Roman" w:hAnsi="Times New Roman" w:cs="Times New Roman"/>
                <w:color w:val="000000"/>
                <w:sz w:val="22"/>
                <w:szCs w:val="22"/>
                <w:shd w:val="clear" w:color="auto" w:fill="FFFFFF"/>
              </w:rPr>
            </w:pPr>
            <w:r w:rsidRPr="00062EAD">
              <w:rPr>
                <w:rFonts w:ascii="Times New Roman" w:eastAsia="Times New Roman" w:hAnsi="Times New Roman" w:cs="Times New Roman"/>
                <w:color w:val="000000"/>
                <w:sz w:val="22"/>
                <w:szCs w:val="22"/>
                <w:shd w:val="clear" w:color="auto" w:fill="FFFFFF"/>
              </w:rPr>
              <w:t>9.8</w:t>
            </w:r>
          </w:p>
        </w:tc>
        <w:tc>
          <w:tcPr>
            <w:tcW w:w="990" w:type="dxa"/>
            <w:tcBorders>
              <w:top w:val="nil"/>
              <w:left w:val="nil"/>
              <w:bottom w:val="nil"/>
              <w:right w:val="nil"/>
            </w:tcBorders>
            <w:shd w:val="clear" w:color="auto" w:fill="auto"/>
            <w:noWrap/>
            <w:vAlign w:val="bottom"/>
            <w:hideMark/>
          </w:tcPr>
          <w:p w14:paraId="04E8275B" w14:textId="77777777" w:rsidR="00A14A03" w:rsidRPr="00062EAD" w:rsidRDefault="00A14A03" w:rsidP="00AE2262">
            <w:pPr>
              <w:spacing w:after="200" w:line="276" w:lineRule="auto"/>
              <w:rPr>
                <w:rFonts w:ascii="Times New Roman" w:eastAsia="Times New Roman" w:hAnsi="Times New Roman" w:cs="Times New Roman"/>
                <w:color w:val="000000"/>
                <w:sz w:val="22"/>
                <w:szCs w:val="22"/>
                <w:shd w:val="clear" w:color="auto" w:fill="FFFFFF"/>
              </w:rPr>
            </w:pPr>
            <w:r w:rsidRPr="00062EAD">
              <w:rPr>
                <w:rFonts w:ascii="Times New Roman" w:eastAsia="Times New Roman" w:hAnsi="Times New Roman" w:cs="Times New Roman"/>
                <w:color w:val="000000"/>
                <w:sz w:val="22"/>
                <w:szCs w:val="22"/>
                <w:shd w:val="clear" w:color="auto" w:fill="FFFFFF"/>
              </w:rPr>
              <w:t>3.9</w:t>
            </w:r>
          </w:p>
        </w:tc>
      </w:tr>
      <w:tr w:rsidR="00A14A03" w:rsidRPr="00062EAD" w14:paraId="2E0532AA" w14:textId="77777777" w:rsidTr="00AE2262">
        <w:trPr>
          <w:trHeight w:val="300"/>
        </w:trPr>
        <w:tc>
          <w:tcPr>
            <w:tcW w:w="915" w:type="dxa"/>
            <w:tcBorders>
              <w:top w:val="nil"/>
              <w:left w:val="nil"/>
              <w:bottom w:val="nil"/>
              <w:right w:val="nil"/>
            </w:tcBorders>
            <w:shd w:val="clear" w:color="auto" w:fill="auto"/>
            <w:noWrap/>
            <w:vAlign w:val="bottom"/>
            <w:hideMark/>
          </w:tcPr>
          <w:p w14:paraId="34CD3357" w14:textId="77777777" w:rsidR="00A14A03" w:rsidRPr="00062EAD" w:rsidRDefault="00A14A03" w:rsidP="00AE2262">
            <w:pPr>
              <w:spacing w:after="200" w:line="276" w:lineRule="auto"/>
              <w:rPr>
                <w:rFonts w:ascii="Times New Roman" w:eastAsia="Times New Roman" w:hAnsi="Times New Roman" w:cs="Times New Roman"/>
                <w:color w:val="000000"/>
                <w:sz w:val="22"/>
                <w:szCs w:val="22"/>
                <w:shd w:val="clear" w:color="auto" w:fill="FFFFFF"/>
              </w:rPr>
            </w:pPr>
            <w:r w:rsidRPr="00062EAD">
              <w:rPr>
                <w:rFonts w:ascii="Times New Roman" w:eastAsia="Times New Roman" w:hAnsi="Times New Roman" w:cs="Times New Roman"/>
                <w:color w:val="000000"/>
                <w:sz w:val="22"/>
                <w:szCs w:val="22"/>
                <w:shd w:val="clear" w:color="auto" w:fill="FFFFFF"/>
              </w:rPr>
              <w:t>55</w:t>
            </w:r>
          </w:p>
        </w:tc>
        <w:tc>
          <w:tcPr>
            <w:tcW w:w="4500" w:type="dxa"/>
            <w:tcBorders>
              <w:top w:val="nil"/>
              <w:left w:val="nil"/>
              <w:bottom w:val="nil"/>
              <w:right w:val="nil"/>
            </w:tcBorders>
            <w:shd w:val="clear" w:color="auto" w:fill="auto"/>
            <w:noWrap/>
            <w:vAlign w:val="bottom"/>
            <w:hideMark/>
          </w:tcPr>
          <w:p w14:paraId="3F3753D1" w14:textId="77777777" w:rsidR="00A14A03" w:rsidRPr="00062EAD" w:rsidRDefault="00A14A03" w:rsidP="00AE2262">
            <w:pPr>
              <w:spacing w:after="200" w:line="276" w:lineRule="auto"/>
              <w:rPr>
                <w:rFonts w:ascii="Times New Roman" w:eastAsia="Times New Roman" w:hAnsi="Times New Roman" w:cs="Times New Roman"/>
                <w:color w:val="000000"/>
                <w:sz w:val="22"/>
                <w:szCs w:val="22"/>
                <w:shd w:val="clear" w:color="auto" w:fill="FFFFFF"/>
              </w:rPr>
            </w:pPr>
            <w:r w:rsidRPr="00062EAD">
              <w:rPr>
                <w:rFonts w:ascii="Times New Roman" w:eastAsia="Times New Roman" w:hAnsi="Times New Roman" w:cs="Times New Roman"/>
                <w:color w:val="000000"/>
                <w:sz w:val="22"/>
                <w:szCs w:val="22"/>
                <w:shd w:val="clear" w:color="auto" w:fill="FFFFFF"/>
              </w:rPr>
              <w:t>Automative Dealers &amp; Service Stations</w:t>
            </w:r>
          </w:p>
        </w:tc>
        <w:tc>
          <w:tcPr>
            <w:tcW w:w="1165" w:type="dxa"/>
            <w:tcBorders>
              <w:top w:val="nil"/>
              <w:left w:val="nil"/>
              <w:bottom w:val="nil"/>
              <w:right w:val="nil"/>
            </w:tcBorders>
            <w:shd w:val="clear" w:color="auto" w:fill="auto"/>
            <w:noWrap/>
            <w:vAlign w:val="bottom"/>
            <w:hideMark/>
          </w:tcPr>
          <w:p w14:paraId="48975024" w14:textId="77777777" w:rsidR="00A14A03" w:rsidRPr="00062EAD" w:rsidRDefault="00A14A03" w:rsidP="00AE2262">
            <w:pPr>
              <w:spacing w:after="200" w:line="276" w:lineRule="auto"/>
              <w:rPr>
                <w:rFonts w:ascii="Times New Roman" w:eastAsia="Times New Roman" w:hAnsi="Times New Roman" w:cs="Times New Roman"/>
                <w:color w:val="000000"/>
                <w:sz w:val="22"/>
                <w:szCs w:val="22"/>
                <w:shd w:val="clear" w:color="auto" w:fill="FFFFFF"/>
              </w:rPr>
            </w:pPr>
            <w:r w:rsidRPr="00062EAD">
              <w:rPr>
                <w:rFonts w:ascii="Times New Roman" w:eastAsia="Times New Roman" w:hAnsi="Times New Roman" w:cs="Times New Roman"/>
                <w:color w:val="000000"/>
                <w:sz w:val="22"/>
                <w:szCs w:val="22"/>
                <w:shd w:val="clear" w:color="auto" w:fill="FFFFFF"/>
              </w:rPr>
              <w:t>7</w:t>
            </w:r>
          </w:p>
        </w:tc>
        <w:tc>
          <w:tcPr>
            <w:tcW w:w="1322" w:type="dxa"/>
            <w:tcBorders>
              <w:top w:val="nil"/>
              <w:left w:val="nil"/>
              <w:bottom w:val="nil"/>
              <w:right w:val="nil"/>
            </w:tcBorders>
            <w:shd w:val="clear" w:color="auto" w:fill="auto"/>
            <w:noWrap/>
            <w:vAlign w:val="bottom"/>
            <w:hideMark/>
          </w:tcPr>
          <w:p w14:paraId="6FEA5F66" w14:textId="77777777" w:rsidR="00A14A03" w:rsidRPr="00062EAD" w:rsidRDefault="00A14A03" w:rsidP="00AE2262">
            <w:pPr>
              <w:spacing w:after="200" w:line="276" w:lineRule="auto"/>
              <w:rPr>
                <w:rFonts w:ascii="Times New Roman" w:eastAsia="Times New Roman" w:hAnsi="Times New Roman" w:cs="Times New Roman"/>
                <w:color w:val="000000"/>
                <w:sz w:val="22"/>
                <w:szCs w:val="22"/>
                <w:shd w:val="clear" w:color="auto" w:fill="FFFFFF"/>
              </w:rPr>
            </w:pPr>
            <w:r w:rsidRPr="00062EAD">
              <w:rPr>
                <w:rFonts w:ascii="Times New Roman" w:eastAsia="Times New Roman" w:hAnsi="Times New Roman" w:cs="Times New Roman"/>
                <w:color w:val="000000"/>
                <w:sz w:val="22"/>
                <w:szCs w:val="22"/>
                <w:shd w:val="clear" w:color="auto" w:fill="FFFFFF"/>
              </w:rPr>
              <w:t>380,000</w:t>
            </w:r>
          </w:p>
        </w:tc>
        <w:tc>
          <w:tcPr>
            <w:tcW w:w="1350" w:type="dxa"/>
            <w:tcBorders>
              <w:top w:val="nil"/>
              <w:left w:val="nil"/>
              <w:bottom w:val="nil"/>
              <w:right w:val="nil"/>
            </w:tcBorders>
            <w:shd w:val="clear" w:color="auto" w:fill="auto"/>
            <w:noWrap/>
            <w:vAlign w:val="bottom"/>
            <w:hideMark/>
          </w:tcPr>
          <w:p w14:paraId="0D5AC298" w14:textId="77777777" w:rsidR="00A14A03" w:rsidRPr="00062EAD" w:rsidRDefault="00A14A03" w:rsidP="00AE2262">
            <w:pPr>
              <w:spacing w:after="200" w:line="276" w:lineRule="auto"/>
              <w:rPr>
                <w:rFonts w:ascii="Times New Roman" w:eastAsia="Times New Roman" w:hAnsi="Times New Roman" w:cs="Times New Roman"/>
                <w:color w:val="000000"/>
                <w:sz w:val="22"/>
                <w:szCs w:val="22"/>
                <w:shd w:val="clear" w:color="auto" w:fill="FFFFFF"/>
              </w:rPr>
            </w:pPr>
            <w:r w:rsidRPr="00062EAD">
              <w:rPr>
                <w:rFonts w:ascii="Times New Roman" w:eastAsia="Times New Roman" w:hAnsi="Times New Roman" w:cs="Times New Roman"/>
                <w:color w:val="000000"/>
                <w:sz w:val="22"/>
                <w:szCs w:val="22"/>
                <w:shd w:val="clear" w:color="auto" w:fill="FFFFFF"/>
              </w:rPr>
              <w:t>150,000</w:t>
            </w:r>
          </w:p>
        </w:tc>
        <w:tc>
          <w:tcPr>
            <w:tcW w:w="810" w:type="dxa"/>
            <w:tcBorders>
              <w:top w:val="nil"/>
              <w:left w:val="nil"/>
              <w:bottom w:val="nil"/>
              <w:right w:val="nil"/>
            </w:tcBorders>
            <w:shd w:val="clear" w:color="auto" w:fill="auto"/>
            <w:noWrap/>
            <w:vAlign w:val="bottom"/>
            <w:hideMark/>
          </w:tcPr>
          <w:p w14:paraId="6DE8027B" w14:textId="77777777" w:rsidR="00A14A03" w:rsidRPr="00062EAD" w:rsidRDefault="00A14A03" w:rsidP="00AE2262">
            <w:pPr>
              <w:spacing w:after="200" w:line="276" w:lineRule="auto"/>
              <w:rPr>
                <w:rFonts w:ascii="Times New Roman" w:eastAsia="Times New Roman" w:hAnsi="Times New Roman" w:cs="Times New Roman"/>
                <w:color w:val="000000"/>
                <w:sz w:val="22"/>
                <w:szCs w:val="22"/>
                <w:shd w:val="clear" w:color="auto" w:fill="FFFFFF"/>
              </w:rPr>
            </w:pPr>
            <w:r w:rsidRPr="00062EAD">
              <w:rPr>
                <w:rFonts w:ascii="Times New Roman" w:eastAsia="Times New Roman" w:hAnsi="Times New Roman" w:cs="Times New Roman"/>
                <w:color w:val="000000"/>
                <w:sz w:val="22"/>
                <w:szCs w:val="22"/>
                <w:shd w:val="clear" w:color="auto" w:fill="FFFFFF"/>
              </w:rPr>
              <w:t>0.0</w:t>
            </w:r>
          </w:p>
        </w:tc>
        <w:tc>
          <w:tcPr>
            <w:tcW w:w="990" w:type="dxa"/>
            <w:tcBorders>
              <w:top w:val="nil"/>
              <w:left w:val="nil"/>
              <w:bottom w:val="nil"/>
              <w:right w:val="nil"/>
            </w:tcBorders>
            <w:shd w:val="clear" w:color="auto" w:fill="auto"/>
            <w:noWrap/>
            <w:vAlign w:val="bottom"/>
            <w:hideMark/>
          </w:tcPr>
          <w:p w14:paraId="78B40A89" w14:textId="77777777" w:rsidR="00A14A03" w:rsidRPr="00062EAD" w:rsidRDefault="00A14A03" w:rsidP="00AE2262">
            <w:pPr>
              <w:spacing w:after="200" w:line="276" w:lineRule="auto"/>
              <w:rPr>
                <w:rFonts w:ascii="Times New Roman" w:eastAsia="Times New Roman" w:hAnsi="Times New Roman" w:cs="Times New Roman"/>
                <w:color w:val="000000"/>
                <w:sz w:val="22"/>
                <w:szCs w:val="22"/>
                <w:shd w:val="clear" w:color="auto" w:fill="FFFFFF"/>
              </w:rPr>
            </w:pPr>
            <w:r w:rsidRPr="00062EAD">
              <w:rPr>
                <w:rFonts w:ascii="Times New Roman" w:eastAsia="Times New Roman" w:hAnsi="Times New Roman" w:cs="Times New Roman"/>
                <w:color w:val="000000"/>
                <w:sz w:val="22"/>
                <w:szCs w:val="22"/>
                <w:shd w:val="clear" w:color="auto" w:fill="FFFFFF"/>
              </w:rPr>
              <w:t>0.0</w:t>
            </w:r>
          </w:p>
        </w:tc>
      </w:tr>
      <w:tr w:rsidR="00A14A03" w:rsidRPr="00062EAD" w14:paraId="585A3710" w14:textId="77777777" w:rsidTr="00AE2262">
        <w:trPr>
          <w:trHeight w:val="300"/>
        </w:trPr>
        <w:tc>
          <w:tcPr>
            <w:tcW w:w="915" w:type="dxa"/>
            <w:tcBorders>
              <w:top w:val="nil"/>
              <w:left w:val="nil"/>
              <w:bottom w:val="nil"/>
              <w:right w:val="nil"/>
            </w:tcBorders>
            <w:shd w:val="clear" w:color="auto" w:fill="auto"/>
            <w:noWrap/>
            <w:vAlign w:val="bottom"/>
            <w:hideMark/>
          </w:tcPr>
          <w:p w14:paraId="18757834" w14:textId="77777777" w:rsidR="00A14A03" w:rsidRPr="00062EAD" w:rsidRDefault="00A14A03" w:rsidP="00AE2262">
            <w:pPr>
              <w:spacing w:after="200" w:line="276" w:lineRule="auto"/>
              <w:rPr>
                <w:rFonts w:ascii="Times New Roman" w:eastAsia="Times New Roman" w:hAnsi="Times New Roman" w:cs="Times New Roman"/>
                <w:color w:val="000000"/>
                <w:sz w:val="22"/>
                <w:szCs w:val="22"/>
                <w:shd w:val="clear" w:color="auto" w:fill="FFFFFF"/>
              </w:rPr>
            </w:pPr>
            <w:r w:rsidRPr="00062EAD">
              <w:rPr>
                <w:rFonts w:ascii="Times New Roman" w:eastAsia="Times New Roman" w:hAnsi="Times New Roman" w:cs="Times New Roman"/>
                <w:color w:val="000000"/>
                <w:sz w:val="22"/>
                <w:szCs w:val="22"/>
                <w:shd w:val="clear" w:color="auto" w:fill="FFFFFF"/>
              </w:rPr>
              <w:t>63</w:t>
            </w:r>
          </w:p>
        </w:tc>
        <w:tc>
          <w:tcPr>
            <w:tcW w:w="4500" w:type="dxa"/>
            <w:tcBorders>
              <w:top w:val="nil"/>
              <w:left w:val="nil"/>
              <w:bottom w:val="nil"/>
              <w:right w:val="nil"/>
            </w:tcBorders>
            <w:shd w:val="clear" w:color="auto" w:fill="auto"/>
            <w:noWrap/>
            <w:vAlign w:val="bottom"/>
            <w:hideMark/>
          </w:tcPr>
          <w:p w14:paraId="6D913190" w14:textId="77777777" w:rsidR="00A14A03" w:rsidRPr="00062EAD" w:rsidRDefault="00A14A03" w:rsidP="00AE2262">
            <w:pPr>
              <w:spacing w:after="200" w:line="276" w:lineRule="auto"/>
              <w:rPr>
                <w:rFonts w:ascii="Times New Roman" w:eastAsia="Times New Roman" w:hAnsi="Times New Roman" w:cs="Times New Roman"/>
                <w:color w:val="000000"/>
                <w:sz w:val="22"/>
                <w:szCs w:val="22"/>
                <w:shd w:val="clear" w:color="auto" w:fill="FFFFFF"/>
              </w:rPr>
            </w:pPr>
            <w:r w:rsidRPr="00062EAD">
              <w:rPr>
                <w:rFonts w:ascii="Times New Roman" w:eastAsia="Times New Roman" w:hAnsi="Times New Roman" w:cs="Times New Roman"/>
                <w:color w:val="000000"/>
                <w:sz w:val="22"/>
                <w:szCs w:val="22"/>
                <w:shd w:val="clear" w:color="auto" w:fill="FFFFFF"/>
              </w:rPr>
              <w:t>Insurance Carriers</w:t>
            </w:r>
          </w:p>
        </w:tc>
        <w:tc>
          <w:tcPr>
            <w:tcW w:w="1165" w:type="dxa"/>
            <w:tcBorders>
              <w:top w:val="nil"/>
              <w:left w:val="nil"/>
              <w:bottom w:val="nil"/>
              <w:right w:val="nil"/>
            </w:tcBorders>
            <w:shd w:val="clear" w:color="auto" w:fill="auto"/>
            <w:noWrap/>
            <w:vAlign w:val="bottom"/>
            <w:hideMark/>
          </w:tcPr>
          <w:p w14:paraId="762756DF" w14:textId="77777777" w:rsidR="00A14A03" w:rsidRPr="00062EAD" w:rsidRDefault="00A14A03" w:rsidP="00AE2262">
            <w:pPr>
              <w:spacing w:after="200" w:line="276" w:lineRule="auto"/>
              <w:rPr>
                <w:rFonts w:ascii="Times New Roman" w:eastAsia="Times New Roman" w:hAnsi="Times New Roman" w:cs="Times New Roman"/>
                <w:color w:val="000000"/>
                <w:sz w:val="22"/>
                <w:szCs w:val="22"/>
                <w:shd w:val="clear" w:color="auto" w:fill="FFFFFF"/>
              </w:rPr>
            </w:pPr>
            <w:r w:rsidRPr="00062EAD">
              <w:rPr>
                <w:rFonts w:ascii="Times New Roman" w:eastAsia="Times New Roman" w:hAnsi="Times New Roman" w:cs="Times New Roman"/>
                <w:color w:val="000000"/>
                <w:sz w:val="22"/>
                <w:szCs w:val="22"/>
                <w:shd w:val="clear" w:color="auto" w:fill="FFFFFF"/>
              </w:rPr>
              <w:t>6</w:t>
            </w:r>
          </w:p>
        </w:tc>
        <w:tc>
          <w:tcPr>
            <w:tcW w:w="1322" w:type="dxa"/>
            <w:tcBorders>
              <w:top w:val="nil"/>
              <w:left w:val="nil"/>
              <w:bottom w:val="nil"/>
              <w:right w:val="nil"/>
            </w:tcBorders>
            <w:shd w:val="clear" w:color="auto" w:fill="auto"/>
            <w:noWrap/>
            <w:vAlign w:val="bottom"/>
            <w:hideMark/>
          </w:tcPr>
          <w:p w14:paraId="5E3CA910" w14:textId="77777777" w:rsidR="00A14A03" w:rsidRPr="00062EAD" w:rsidRDefault="00A14A03" w:rsidP="00AE2262">
            <w:pPr>
              <w:spacing w:after="200" w:line="276" w:lineRule="auto"/>
              <w:rPr>
                <w:rFonts w:ascii="Times New Roman" w:eastAsia="Times New Roman" w:hAnsi="Times New Roman" w:cs="Times New Roman"/>
                <w:color w:val="000000"/>
                <w:sz w:val="22"/>
                <w:szCs w:val="22"/>
                <w:shd w:val="clear" w:color="auto" w:fill="FFFFFF"/>
              </w:rPr>
            </w:pPr>
            <w:r w:rsidRPr="00062EAD">
              <w:rPr>
                <w:rFonts w:ascii="Times New Roman" w:eastAsia="Times New Roman" w:hAnsi="Times New Roman" w:cs="Times New Roman"/>
                <w:color w:val="000000"/>
                <w:sz w:val="22"/>
                <w:szCs w:val="22"/>
                <w:shd w:val="clear" w:color="auto" w:fill="FFFFFF"/>
              </w:rPr>
              <w:t>555,000</w:t>
            </w:r>
          </w:p>
        </w:tc>
        <w:tc>
          <w:tcPr>
            <w:tcW w:w="1350" w:type="dxa"/>
            <w:tcBorders>
              <w:top w:val="nil"/>
              <w:left w:val="nil"/>
              <w:bottom w:val="nil"/>
              <w:right w:val="nil"/>
            </w:tcBorders>
            <w:shd w:val="clear" w:color="auto" w:fill="auto"/>
            <w:noWrap/>
            <w:vAlign w:val="bottom"/>
            <w:hideMark/>
          </w:tcPr>
          <w:p w14:paraId="582EB4FC" w14:textId="77777777" w:rsidR="00A14A03" w:rsidRPr="00062EAD" w:rsidRDefault="00A14A03" w:rsidP="00AE2262">
            <w:pPr>
              <w:spacing w:after="200" w:line="276" w:lineRule="auto"/>
              <w:rPr>
                <w:rFonts w:ascii="Times New Roman" w:eastAsia="Times New Roman" w:hAnsi="Times New Roman" w:cs="Times New Roman"/>
                <w:color w:val="000000"/>
                <w:sz w:val="22"/>
                <w:szCs w:val="22"/>
                <w:shd w:val="clear" w:color="auto" w:fill="FFFFFF"/>
              </w:rPr>
            </w:pPr>
            <w:r w:rsidRPr="00062EAD">
              <w:rPr>
                <w:rFonts w:ascii="Times New Roman" w:eastAsia="Times New Roman" w:hAnsi="Times New Roman" w:cs="Times New Roman"/>
                <w:color w:val="000000"/>
                <w:sz w:val="22"/>
                <w:szCs w:val="22"/>
                <w:shd w:val="clear" w:color="auto" w:fill="FFFFFF"/>
              </w:rPr>
              <w:t>410,000</w:t>
            </w:r>
          </w:p>
        </w:tc>
        <w:tc>
          <w:tcPr>
            <w:tcW w:w="810" w:type="dxa"/>
            <w:tcBorders>
              <w:top w:val="nil"/>
              <w:left w:val="nil"/>
              <w:bottom w:val="nil"/>
              <w:right w:val="nil"/>
            </w:tcBorders>
            <w:shd w:val="clear" w:color="auto" w:fill="auto"/>
            <w:noWrap/>
            <w:vAlign w:val="bottom"/>
            <w:hideMark/>
          </w:tcPr>
          <w:p w14:paraId="12E21026" w14:textId="77777777" w:rsidR="00A14A03" w:rsidRPr="00062EAD" w:rsidRDefault="00A14A03" w:rsidP="00AE2262">
            <w:pPr>
              <w:spacing w:after="200" w:line="276" w:lineRule="auto"/>
              <w:rPr>
                <w:rFonts w:ascii="Times New Roman" w:eastAsia="Times New Roman" w:hAnsi="Times New Roman" w:cs="Times New Roman"/>
                <w:color w:val="000000"/>
                <w:sz w:val="22"/>
                <w:szCs w:val="22"/>
                <w:shd w:val="clear" w:color="auto" w:fill="FFFFFF"/>
              </w:rPr>
            </w:pPr>
            <w:r w:rsidRPr="00062EAD">
              <w:rPr>
                <w:rFonts w:ascii="Times New Roman" w:eastAsia="Times New Roman" w:hAnsi="Times New Roman" w:cs="Times New Roman"/>
                <w:color w:val="000000"/>
                <w:sz w:val="22"/>
                <w:szCs w:val="22"/>
                <w:shd w:val="clear" w:color="auto" w:fill="FFFFFF"/>
              </w:rPr>
              <w:t>0.0</w:t>
            </w:r>
          </w:p>
        </w:tc>
        <w:tc>
          <w:tcPr>
            <w:tcW w:w="990" w:type="dxa"/>
            <w:tcBorders>
              <w:top w:val="nil"/>
              <w:left w:val="nil"/>
              <w:bottom w:val="nil"/>
              <w:right w:val="nil"/>
            </w:tcBorders>
            <w:shd w:val="clear" w:color="auto" w:fill="auto"/>
            <w:noWrap/>
            <w:vAlign w:val="bottom"/>
            <w:hideMark/>
          </w:tcPr>
          <w:p w14:paraId="05924B2A" w14:textId="77777777" w:rsidR="00A14A03" w:rsidRPr="00062EAD" w:rsidRDefault="00A14A03" w:rsidP="00AE2262">
            <w:pPr>
              <w:spacing w:after="200" w:line="276" w:lineRule="auto"/>
              <w:rPr>
                <w:rFonts w:ascii="Times New Roman" w:eastAsia="Times New Roman" w:hAnsi="Times New Roman" w:cs="Times New Roman"/>
                <w:color w:val="000000"/>
                <w:sz w:val="22"/>
                <w:szCs w:val="22"/>
                <w:shd w:val="clear" w:color="auto" w:fill="FFFFFF"/>
              </w:rPr>
            </w:pPr>
            <w:r w:rsidRPr="00062EAD">
              <w:rPr>
                <w:rFonts w:ascii="Times New Roman" w:eastAsia="Times New Roman" w:hAnsi="Times New Roman" w:cs="Times New Roman"/>
                <w:color w:val="000000"/>
                <w:sz w:val="22"/>
                <w:szCs w:val="22"/>
                <w:shd w:val="clear" w:color="auto" w:fill="FFFFFF"/>
              </w:rPr>
              <w:t>0.0</w:t>
            </w:r>
          </w:p>
        </w:tc>
      </w:tr>
      <w:tr w:rsidR="00A14A03" w:rsidRPr="00062EAD" w14:paraId="533B9D6A" w14:textId="77777777" w:rsidTr="00AE2262">
        <w:trPr>
          <w:trHeight w:val="300"/>
        </w:trPr>
        <w:tc>
          <w:tcPr>
            <w:tcW w:w="915" w:type="dxa"/>
            <w:tcBorders>
              <w:top w:val="nil"/>
              <w:left w:val="nil"/>
              <w:bottom w:val="nil"/>
              <w:right w:val="nil"/>
            </w:tcBorders>
            <w:shd w:val="clear" w:color="auto" w:fill="auto"/>
            <w:noWrap/>
            <w:vAlign w:val="bottom"/>
            <w:hideMark/>
          </w:tcPr>
          <w:p w14:paraId="17FF527B" w14:textId="77777777" w:rsidR="00A14A03" w:rsidRPr="00062EAD" w:rsidRDefault="00A14A03" w:rsidP="00AE2262">
            <w:pPr>
              <w:spacing w:after="200" w:line="276" w:lineRule="auto"/>
              <w:rPr>
                <w:rFonts w:ascii="Times New Roman" w:eastAsia="Times New Roman" w:hAnsi="Times New Roman" w:cs="Times New Roman"/>
                <w:color w:val="000000"/>
                <w:sz w:val="22"/>
                <w:szCs w:val="22"/>
                <w:shd w:val="clear" w:color="auto" w:fill="FFFFFF"/>
              </w:rPr>
            </w:pPr>
            <w:r w:rsidRPr="00062EAD">
              <w:rPr>
                <w:rFonts w:ascii="Times New Roman" w:eastAsia="Times New Roman" w:hAnsi="Times New Roman" w:cs="Times New Roman"/>
                <w:color w:val="000000"/>
                <w:sz w:val="22"/>
                <w:szCs w:val="22"/>
                <w:shd w:val="clear" w:color="auto" w:fill="FFFFFF"/>
              </w:rPr>
              <w:t>12</w:t>
            </w:r>
          </w:p>
        </w:tc>
        <w:tc>
          <w:tcPr>
            <w:tcW w:w="4500" w:type="dxa"/>
            <w:tcBorders>
              <w:top w:val="nil"/>
              <w:left w:val="nil"/>
              <w:bottom w:val="nil"/>
              <w:right w:val="nil"/>
            </w:tcBorders>
            <w:shd w:val="clear" w:color="auto" w:fill="auto"/>
            <w:noWrap/>
            <w:vAlign w:val="bottom"/>
            <w:hideMark/>
          </w:tcPr>
          <w:p w14:paraId="390C0137" w14:textId="77777777" w:rsidR="00A14A03" w:rsidRPr="00062EAD" w:rsidRDefault="00A14A03" w:rsidP="00AE2262">
            <w:pPr>
              <w:spacing w:after="200" w:line="276" w:lineRule="auto"/>
              <w:rPr>
                <w:rFonts w:ascii="Times New Roman" w:eastAsia="Times New Roman" w:hAnsi="Times New Roman" w:cs="Times New Roman"/>
                <w:color w:val="000000"/>
                <w:sz w:val="22"/>
                <w:szCs w:val="22"/>
                <w:shd w:val="clear" w:color="auto" w:fill="FFFFFF"/>
              </w:rPr>
            </w:pPr>
            <w:r w:rsidRPr="00062EAD">
              <w:rPr>
                <w:rFonts w:ascii="Times New Roman" w:eastAsia="Times New Roman" w:hAnsi="Times New Roman" w:cs="Times New Roman"/>
                <w:color w:val="000000"/>
                <w:sz w:val="22"/>
                <w:szCs w:val="22"/>
                <w:shd w:val="clear" w:color="auto" w:fill="FFFFFF"/>
              </w:rPr>
              <w:t>Coal Mining</w:t>
            </w:r>
          </w:p>
        </w:tc>
        <w:tc>
          <w:tcPr>
            <w:tcW w:w="1165" w:type="dxa"/>
            <w:tcBorders>
              <w:top w:val="nil"/>
              <w:left w:val="nil"/>
              <w:bottom w:val="nil"/>
              <w:right w:val="nil"/>
            </w:tcBorders>
            <w:shd w:val="clear" w:color="auto" w:fill="auto"/>
            <w:noWrap/>
            <w:vAlign w:val="bottom"/>
            <w:hideMark/>
          </w:tcPr>
          <w:p w14:paraId="1C976E3A" w14:textId="77777777" w:rsidR="00A14A03" w:rsidRPr="00062EAD" w:rsidRDefault="00A14A03" w:rsidP="00AE2262">
            <w:pPr>
              <w:spacing w:after="200" w:line="276" w:lineRule="auto"/>
              <w:rPr>
                <w:rFonts w:ascii="Times New Roman" w:eastAsia="Times New Roman" w:hAnsi="Times New Roman" w:cs="Times New Roman"/>
                <w:color w:val="000000"/>
                <w:sz w:val="22"/>
                <w:szCs w:val="22"/>
                <w:shd w:val="clear" w:color="auto" w:fill="FFFFFF"/>
              </w:rPr>
            </w:pPr>
            <w:r w:rsidRPr="00062EAD">
              <w:rPr>
                <w:rFonts w:ascii="Times New Roman" w:eastAsia="Times New Roman" w:hAnsi="Times New Roman" w:cs="Times New Roman"/>
                <w:color w:val="000000"/>
                <w:sz w:val="22"/>
                <w:szCs w:val="22"/>
                <w:shd w:val="clear" w:color="auto" w:fill="FFFFFF"/>
              </w:rPr>
              <w:t>5</w:t>
            </w:r>
          </w:p>
        </w:tc>
        <w:tc>
          <w:tcPr>
            <w:tcW w:w="1322" w:type="dxa"/>
            <w:tcBorders>
              <w:top w:val="nil"/>
              <w:left w:val="nil"/>
              <w:bottom w:val="nil"/>
              <w:right w:val="nil"/>
            </w:tcBorders>
            <w:shd w:val="clear" w:color="auto" w:fill="auto"/>
            <w:noWrap/>
            <w:vAlign w:val="bottom"/>
            <w:hideMark/>
          </w:tcPr>
          <w:p w14:paraId="786C7957" w14:textId="77777777" w:rsidR="00A14A03" w:rsidRPr="00062EAD" w:rsidRDefault="00A14A03" w:rsidP="00AE2262">
            <w:pPr>
              <w:spacing w:after="200" w:line="276" w:lineRule="auto"/>
              <w:rPr>
                <w:rFonts w:ascii="Times New Roman" w:eastAsia="Times New Roman" w:hAnsi="Times New Roman" w:cs="Times New Roman"/>
                <w:color w:val="000000"/>
                <w:sz w:val="22"/>
                <w:szCs w:val="22"/>
                <w:shd w:val="clear" w:color="auto" w:fill="FFFFFF"/>
              </w:rPr>
            </w:pPr>
            <w:r w:rsidRPr="00062EAD">
              <w:rPr>
                <w:rFonts w:ascii="Times New Roman" w:eastAsia="Times New Roman" w:hAnsi="Times New Roman" w:cs="Times New Roman"/>
                <w:color w:val="000000"/>
                <w:sz w:val="22"/>
                <w:szCs w:val="22"/>
                <w:shd w:val="clear" w:color="auto" w:fill="FFFFFF"/>
              </w:rPr>
              <w:t>896,000</w:t>
            </w:r>
          </w:p>
        </w:tc>
        <w:tc>
          <w:tcPr>
            <w:tcW w:w="1350" w:type="dxa"/>
            <w:tcBorders>
              <w:top w:val="nil"/>
              <w:left w:val="nil"/>
              <w:bottom w:val="nil"/>
              <w:right w:val="nil"/>
            </w:tcBorders>
            <w:shd w:val="clear" w:color="auto" w:fill="auto"/>
            <w:noWrap/>
            <w:vAlign w:val="bottom"/>
            <w:hideMark/>
          </w:tcPr>
          <w:p w14:paraId="7477E960" w14:textId="77777777" w:rsidR="00A14A03" w:rsidRPr="00062EAD" w:rsidRDefault="00A14A03" w:rsidP="00AE2262">
            <w:pPr>
              <w:spacing w:after="200" w:line="276" w:lineRule="auto"/>
              <w:rPr>
                <w:rFonts w:ascii="Times New Roman" w:eastAsia="Times New Roman" w:hAnsi="Times New Roman" w:cs="Times New Roman"/>
                <w:color w:val="000000"/>
                <w:sz w:val="22"/>
                <w:szCs w:val="22"/>
                <w:shd w:val="clear" w:color="auto" w:fill="FFFFFF"/>
              </w:rPr>
            </w:pPr>
            <w:r w:rsidRPr="00062EAD">
              <w:rPr>
                <w:rFonts w:ascii="Times New Roman" w:eastAsia="Times New Roman" w:hAnsi="Times New Roman" w:cs="Times New Roman"/>
                <w:color w:val="000000"/>
                <w:sz w:val="22"/>
                <w:szCs w:val="22"/>
                <w:shd w:val="clear" w:color="auto" w:fill="FFFFFF"/>
              </w:rPr>
              <w:t>240,000</w:t>
            </w:r>
          </w:p>
        </w:tc>
        <w:tc>
          <w:tcPr>
            <w:tcW w:w="810" w:type="dxa"/>
            <w:tcBorders>
              <w:top w:val="nil"/>
              <w:left w:val="nil"/>
              <w:bottom w:val="nil"/>
              <w:right w:val="nil"/>
            </w:tcBorders>
            <w:shd w:val="clear" w:color="auto" w:fill="auto"/>
            <w:noWrap/>
            <w:vAlign w:val="bottom"/>
            <w:hideMark/>
          </w:tcPr>
          <w:p w14:paraId="374101EF" w14:textId="77777777" w:rsidR="00A14A03" w:rsidRPr="00062EAD" w:rsidRDefault="00A14A03" w:rsidP="00AE2262">
            <w:pPr>
              <w:spacing w:after="200" w:line="276" w:lineRule="auto"/>
              <w:rPr>
                <w:rFonts w:ascii="Times New Roman" w:eastAsia="Times New Roman" w:hAnsi="Times New Roman" w:cs="Times New Roman"/>
                <w:color w:val="000000"/>
                <w:sz w:val="22"/>
                <w:szCs w:val="22"/>
                <w:shd w:val="clear" w:color="auto" w:fill="FFFFFF"/>
              </w:rPr>
            </w:pPr>
            <w:r w:rsidRPr="00062EAD">
              <w:rPr>
                <w:rFonts w:ascii="Times New Roman" w:eastAsia="Times New Roman" w:hAnsi="Times New Roman" w:cs="Times New Roman"/>
                <w:color w:val="000000"/>
                <w:sz w:val="22"/>
                <w:szCs w:val="22"/>
                <w:shd w:val="clear" w:color="auto" w:fill="FFFFFF"/>
              </w:rPr>
              <w:t>0.1</w:t>
            </w:r>
          </w:p>
        </w:tc>
        <w:tc>
          <w:tcPr>
            <w:tcW w:w="990" w:type="dxa"/>
            <w:tcBorders>
              <w:top w:val="nil"/>
              <w:left w:val="nil"/>
              <w:bottom w:val="nil"/>
              <w:right w:val="nil"/>
            </w:tcBorders>
            <w:shd w:val="clear" w:color="auto" w:fill="auto"/>
            <w:noWrap/>
            <w:vAlign w:val="bottom"/>
            <w:hideMark/>
          </w:tcPr>
          <w:p w14:paraId="53F4039E" w14:textId="77777777" w:rsidR="00A14A03" w:rsidRPr="00062EAD" w:rsidRDefault="00A14A03" w:rsidP="00AE2262">
            <w:pPr>
              <w:spacing w:after="200" w:line="276" w:lineRule="auto"/>
              <w:rPr>
                <w:rFonts w:ascii="Times New Roman" w:eastAsia="Times New Roman" w:hAnsi="Times New Roman" w:cs="Times New Roman"/>
                <w:color w:val="000000"/>
                <w:sz w:val="22"/>
                <w:szCs w:val="22"/>
                <w:shd w:val="clear" w:color="auto" w:fill="FFFFFF"/>
              </w:rPr>
            </w:pPr>
            <w:r w:rsidRPr="00062EAD">
              <w:rPr>
                <w:rFonts w:ascii="Times New Roman" w:eastAsia="Times New Roman" w:hAnsi="Times New Roman" w:cs="Times New Roman"/>
                <w:color w:val="000000"/>
                <w:sz w:val="22"/>
                <w:szCs w:val="22"/>
                <w:shd w:val="clear" w:color="auto" w:fill="FFFFFF"/>
              </w:rPr>
              <w:t>0.1</w:t>
            </w:r>
          </w:p>
        </w:tc>
      </w:tr>
      <w:tr w:rsidR="00A14A03" w:rsidRPr="00062EAD" w14:paraId="6E43E102" w14:textId="77777777" w:rsidTr="00AE2262">
        <w:trPr>
          <w:trHeight w:val="300"/>
        </w:trPr>
        <w:tc>
          <w:tcPr>
            <w:tcW w:w="915" w:type="dxa"/>
            <w:tcBorders>
              <w:top w:val="nil"/>
              <w:left w:val="nil"/>
              <w:bottom w:val="nil"/>
              <w:right w:val="nil"/>
            </w:tcBorders>
            <w:shd w:val="clear" w:color="auto" w:fill="auto"/>
            <w:noWrap/>
            <w:vAlign w:val="bottom"/>
            <w:hideMark/>
          </w:tcPr>
          <w:p w14:paraId="3112BD41" w14:textId="77777777" w:rsidR="00A14A03" w:rsidRPr="00062EAD" w:rsidRDefault="00A14A03" w:rsidP="00AE2262">
            <w:pPr>
              <w:spacing w:after="200" w:line="276" w:lineRule="auto"/>
              <w:rPr>
                <w:rFonts w:ascii="Times New Roman" w:eastAsia="Times New Roman" w:hAnsi="Times New Roman" w:cs="Times New Roman"/>
                <w:color w:val="000000"/>
                <w:sz w:val="22"/>
                <w:szCs w:val="22"/>
                <w:shd w:val="clear" w:color="auto" w:fill="FFFFFF"/>
              </w:rPr>
            </w:pPr>
            <w:r w:rsidRPr="00062EAD">
              <w:rPr>
                <w:rFonts w:ascii="Times New Roman" w:eastAsia="Times New Roman" w:hAnsi="Times New Roman" w:cs="Times New Roman"/>
                <w:color w:val="000000"/>
                <w:sz w:val="22"/>
                <w:szCs w:val="22"/>
                <w:shd w:val="clear" w:color="auto" w:fill="FFFFFF"/>
              </w:rPr>
              <w:t>78</w:t>
            </w:r>
          </w:p>
        </w:tc>
        <w:tc>
          <w:tcPr>
            <w:tcW w:w="4500" w:type="dxa"/>
            <w:tcBorders>
              <w:top w:val="nil"/>
              <w:left w:val="nil"/>
              <w:bottom w:val="nil"/>
              <w:right w:val="nil"/>
            </w:tcBorders>
            <w:shd w:val="clear" w:color="auto" w:fill="auto"/>
            <w:noWrap/>
            <w:vAlign w:val="bottom"/>
            <w:hideMark/>
          </w:tcPr>
          <w:p w14:paraId="36F346F9" w14:textId="77777777" w:rsidR="00A14A03" w:rsidRPr="00062EAD" w:rsidRDefault="00A14A03" w:rsidP="00AE2262">
            <w:pPr>
              <w:spacing w:after="200" w:line="276" w:lineRule="auto"/>
              <w:rPr>
                <w:rFonts w:ascii="Times New Roman" w:eastAsia="Times New Roman" w:hAnsi="Times New Roman" w:cs="Times New Roman"/>
                <w:color w:val="000000"/>
                <w:sz w:val="22"/>
                <w:szCs w:val="22"/>
                <w:shd w:val="clear" w:color="auto" w:fill="FFFFFF"/>
              </w:rPr>
            </w:pPr>
            <w:r w:rsidRPr="00062EAD">
              <w:rPr>
                <w:rFonts w:ascii="Times New Roman" w:eastAsia="Times New Roman" w:hAnsi="Times New Roman" w:cs="Times New Roman"/>
                <w:color w:val="000000"/>
                <w:sz w:val="22"/>
                <w:szCs w:val="22"/>
                <w:shd w:val="clear" w:color="auto" w:fill="FFFFFF"/>
              </w:rPr>
              <w:t>Motion Pictures</w:t>
            </w:r>
          </w:p>
        </w:tc>
        <w:tc>
          <w:tcPr>
            <w:tcW w:w="1165" w:type="dxa"/>
            <w:tcBorders>
              <w:top w:val="nil"/>
              <w:left w:val="nil"/>
              <w:bottom w:val="nil"/>
              <w:right w:val="nil"/>
            </w:tcBorders>
            <w:shd w:val="clear" w:color="auto" w:fill="auto"/>
            <w:noWrap/>
            <w:vAlign w:val="bottom"/>
            <w:hideMark/>
          </w:tcPr>
          <w:p w14:paraId="2DF68890" w14:textId="77777777" w:rsidR="00A14A03" w:rsidRPr="00062EAD" w:rsidRDefault="00A14A03" w:rsidP="00AE2262">
            <w:pPr>
              <w:spacing w:after="200" w:line="276" w:lineRule="auto"/>
              <w:rPr>
                <w:rFonts w:ascii="Times New Roman" w:eastAsia="Times New Roman" w:hAnsi="Times New Roman" w:cs="Times New Roman"/>
                <w:color w:val="000000"/>
                <w:sz w:val="22"/>
                <w:szCs w:val="22"/>
                <w:shd w:val="clear" w:color="auto" w:fill="FFFFFF"/>
              </w:rPr>
            </w:pPr>
            <w:r w:rsidRPr="00062EAD">
              <w:rPr>
                <w:rFonts w:ascii="Times New Roman" w:eastAsia="Times New Roman" w:hAnsi="Times New Roman" w:cs="Times New Roman"/>
                <w:color w:val="000000"/>
                <w:sz w:val="22"/>
                <w:szCs w:val="22"/>
                <w:shd w:val="clear" w:color="auto" w:fill="FFFFFF"/>
              </w:rPr>
              <w:t>5</w:t>
            </w:r>
          </w:p>
        </w:tc>
        <w:tc>
          <w:tcPr>
            <w:tcW w:w="1322" w:type="dxa"/>
            <w:tcBorders>
              <w:top w:val="nil"/>
              <w:left w:val="nil"/>
              <w:bottom w:val="nil"/>
              <w:right w:val="nil"/>
            </w:tcBorders>
            <w:shd w:val="clear" w:color="auto" w:fill="auto"/>
            <w:noWrap/>
            <w:vAlign w:val="bottom"/>
            <w:hideMark/>
          </w:tcPr>
          <w:p w14:paraId="65E1C870" w14:textId="77777777" w:rsidR="00A14A03" w:rsidRPr="00062EAD" w:rsidRDefault="00A14A03" w:rsidP="00AE2262">
            <w:pPr>
              <w:spacing w:after="200" w:line="276" w:lineRule="auto"/>
              <w:rPr>
                <w:rFonts w:ascii="Times New Roman" w:eastAsia="Times New Roman" w:hAnsi="Times New Roman" w:cs="Times New Roman"/>
                <w:color w:val="000000"/>
                <w:sz w:val="22"/>
                <w:szCs w:val="22"/>
                <w:shd w:val="clear" w:color="auto" w:fill="FFFFFF"/>
              </w:rPr>
            </w:pPr>
            <w:r w:rsidRPr="00062EAD">
              <w:rPr>
                <w:rFonts w:ascii="Times New Roman" w:eastAsia="Times New Roman" w:hAnsi="Times New Roman" w:cs="Times New Roman"/>
                <w:color w:val="000000"/>
                <w:sz w:val="22"/>
                <w:szCs w:val="22"/>
                <w:shd w:val="clear" w:color="auto" w:fill="FFFFFF"/>
              </w:rPr>
              <w:t>587,000</w:t>
            </w:r>
          </w:p>
        </w:tc>
        <w:tc>
          <w:tcPr>
            <w:tcW w:w="1350" w:type="dxa"/>
            <w:tcBorders>
              <w:top w:val="nil"/>
              <w:left w:val="nil"/>
              <w:bottom w:val="nil"/>
              <w:right w:val="nil"/>
            </w:tcBorders>
            <w:shd w:val="clear" w:color="auto" w:fill="auto"/>
            <w:noWrap/>
            <w:vAlign w:val="bottom"/>
            <w:hideMark/>
          </w:tcPr>
          <w:p w14:paraId="21D35F82" w14:textId="77777777" w:rsidR="00A14A03" w:rsidRPr="00062EAD" w:rsidRDefault="00A14A03" w:rsidP="00AE2262">
            <w:pPr>
              <w:spacing w:after="200" w:line="276" w:lineRule="auto"/>
              <w:rPr>
                <w:rFonts w:ascii="Times New Roman" w:eastAsia="Times New Roman" w:hAnsi="Times New Roman" w:cs="Times New Roman"/>
                <w:color w:val="000000"/>
                <w:sz w:val="22"/>
                <w:szCs w:val="22"/>
                <w:shd w:val="clear" w:color="auto" w:fill="FFFFFF"/>
              </w:rPr>
            </w:pPr>
            <w:r w:rsidRPr="00062EAD">
              <w:rPr>
                <w:rFonts w:ascii="Times New Roman" w:eastAsia="Times New Roman" w:hAnsi="Times New Roman" w:cs="Times New Roman"/>
                <w:color w:val="000000"/>
                <w:sz w:val="22"/>
                <w:szCs w:val="22"/>
                <w:shd w:val="clear" w:color="auto" w:fill="FFFFFF"/>
              </w:rPr>
              <w:t>500,000</w:t>
            </w:r>
          </w:p>
        </w:tc>
        <w:tc>
          <w:tcPr>
            <w:tcW w:w="810" w:type="dxa"/>
            <w:tcBorders>
              <w:top w:val="nil"/>
              <w:left w:val="nil"/>
              <w:bottom w:val="nil"/>
              <w:right w:val="nil"/>
            </w:tcBorders>
            <w:shd w:val="clear" w:color="auto" w:fill="auto"/>
            <w:noWrap/>
            <w:vAlign w:val="bottom"/>
            <w:hideMark/>
          </w:tcPr>
          <w:p w14:paraId="4503CA81" w14:textId="77777777" w:rsidR="00A14A03" w:rsidRPr="00062EAD" w:rsidRDefault="00A14A03" w:rsidP="00AE2262">
            <w:pPr>
              <w:spacing w:after="200" w:line="276" w:lineRule="auto"/>
              <w:rPr>
                <w:rFonts w:ascii="Times New Roman" w:eastAsia="Times New Roman" w:hAnsi="Times New Roman" w:cs="Times New Roman"/>
                <w:color w:val="000000"/>
                <w:sz w:val="22"/>
                <w:szCs w:val="22"/>
                <w:shd w:val="clear" w:color="auto" w:fill="FFFFFF"/>
              </w:rPr>
            </w:pPr>
            <w:r w:rsidRPr="00062EAD">
              <w:rPr>
                <w:rFonts w:ascii="Times New Roman" w:eastAsia="Times New Roman" w:hAnsi="Times New Roman" w:cs="Times New Roman"/>
                <w:color w:val="000000"/>
                <w:sz w:val="22"/>
                <w:szCs w:val="22"/>
                <w:shd w:val="clear" w:color="auto" w:fill="FFFFFF"/>
              </w:rPr>
              <w:t>2.6</w:t>
            </w:r>
          </w:p>
        </w:tc>
        <w:tc>
          <w:tcPr>
            <w:tcW w:w="990" w:type="dxa"/>
            <w:tcBorders>
              <w:top w:val="nil"/>
              <w:left w:val="nil"/>
              <w:bottom w:val="nil"/>
              <w:right w:val="nil"/>
            </w:tcBorders>
            <w:shd w:val="clear" w:color="auto" w:fill="auto"/>
            <w:noWrap/>
            <w:vAlign w:val="bottom"/>
            <w:hideMark/>
          </w:tcPr>
          <w:p w14:paraId="3D7C8D42" w14:textId="77777777" w:rsidR="00A14A03" w:rsidRPr="00062EAD" w:rsidRDefault="00A14A03" w:rsidP="00AE2262">
            <w:pPr>
              <w:spacing w:after="200" w:line="276" w:lineRule="auto"/>
              <w:rPr>
                <w:rFonts w:ascii="Times New Roman" w:eastAsia="Times New Roman" w:hAnsi="Times New Roman" w:cs="Times New Roman"/>
                <w:color w:val="000000"/>
                <w:sz w:val="22"/>
                <w:szCs w:val="22"/>
                <w:shd w:val="clear" w:color="auto" w:fill="FFFFFF"/>
              </w:rPr>
            </w:pPr>
            <w:r w:rsidRPr="00062EAD">
              <w:rPr>
                <w:rFonts w:ascii="Times New Roman" w:eastAsia="Times New Roman" w:hAnsi="Times New Roman" w:cs="Times New Roman"/>
                <w:color w:val="000000"/>
                <w:sz w:val="22"/>
                <w:szCs w:val="22"/>
                <w:shd w:val="clear" w:color="auto" w:fill="FFFFFF"/>
              </w:rPr>
              <w:t>2.5</w:t>
            </w:r>
          </w:p>
        </w:tc>
      </w:tr>
      <w:tr w:rsidR="00A14A03" w:rsidRPr="00062EAD" w14:paraId="136F8D98" w14:textId="77777777" w:rsidTr="00AE2262">
        <w:trPr>
          <w:trHeight w:val="300"/>
        </w:trPr>
        <w:tc>
          <w:tcPr>
            <w:tcW w:w="915" w:type="dxa"/>
            <w:tcBorders>
              <w:top w:val="nil"/>
              <w:left w:val="nil"/>
              <w:bottom w:val="nil"/>
              <w:right w:val="nil"/>
            </w:tcBorders>
            <w:shd w:val="clear" w:color="auto" w:fill="auto"/>
            <w:noWrap/>
            <w:vAlign w:val="bottom"/>
            <w:hideMark/>
          </w:tcPr>
          <w:p w14:paraId="3D1C073B" w14:textId="77777777" w:rsidR="00A14A03" w:rsidRPr="00062EAD" w:rsidRDefault="00A14A03" w:rsidP="00AE2262">
            <w:pPr>
              <w:spacing w:after="200" w:line="276" w:lineRule="auto"/>
              <w:rPr>
                <w:rFonts w:ascii="Times New Roman" w:eastAsia="Times New Roman" w:hAnsi="Times New Roman" w:cs="Times New Roman"/>
                <w:color w:val="000000"/>
                <w:sz w:val="22"/>
                <w:szCs w:val="22"/>
                <w:shd w:val="clear" w:color="auto" w:fill="FFFFFF"/>
              </w:rPr>
            </w:pPr>
            <w:r w:rsidRPr="00062EAD">
              <w:rPr>
                <w:rFonts w:ascii="Times New Roman" w:eastAsia="Times New Roman" w:hAnsi="Times New Roman" w:cs="Times New Roman"/>
                <w:color w:val="000000"/>
                <w:sz w:val="22"/>
                <w:szCs w:val="22"/>
                <w:shd w:val="clear" w:color="auto" w:fill="FFFFFF"/>
              </w:rPr>
              <w:t>64</w:t>
            </w:r>
          </w:p>
        </w:tc>
        <w:tc>
          <w:tcPr>
            <w:tcW w:w="4500" w:type="dxa"/>
            <w:tcBorders>
              <w:top w:val="nil"/>
              <w:left w:val="nil"/>
              <w:bottom w:val="nil"/>
              <w:right w:val="nil"/>
            </w:tcBorders>
            <w:shd w:val="clear" w:color="auto" w:fill="auto"/>
            <w:noWrap/>
            <w:vAlign w:val="bottom"/>
            <w:hideMark/>
          </w:tcPr>
          <w:p w14:paraId="774E45DC" w14:textId="77777777" w:rsidR="00A14A03" w:rsidRPr="00062EAD" w:rsidRDefault="00A14A03" w:rsidP="00AE2262">
            <w:pPr>
              <w:spacing w:after="200" w:line="276" w:lineRule="auto"/>
              <w:rPr>
                <w:rFonts w:ascii="Times New Roman" w:eastAsia="Times New Roman" w:hAnsi="Times New Roman" w:cs="Times New Roman"/>
                <w:color w:val="000000"/>
                <w:sz w:val="22"/>
                <w:szCs w:val="22"/>
                <w:shd w:val="clear" w:color="auto" w:fill="FFFFFF"/>
              </w:rPr>
            </w:pPr>
            <w:r w:rsidRPr="00062EAD">
              <w:rPr>
                <w:rFonts w:ascii="Times New Roman" w:eastAsia="Times New Roman" w:hAnsi="Times New Roman" w:cs="Times New Roman"/>
                <w:color w:val="000000"/>
                <w:sz w:val="22"/>
                <w:szCs w:val="22"/>
                <w:shd w:val="clear" w:color="auto" w:fill="FFFFFF"/>
              </w:rPr>
              <w:t>Insurance Agents, Brokers, &amp; Service</w:t>
            </w:r>
          </w:p>
        </w:tc>
        <w:tc>
          <w:tcPr>
            <w:tcW w:w="1165" w:type="dxa"/>
            <w:tcBorders>
              <w:top w:val="nil"/>
              <w:left w:val="nil"/>
              <w:bottom w:val="nil"/>
              <w:right w:val="nil"/>
            </w:tcBorders>
            <w:shd w:val="clear" w:color="auto" w:fill="auto"/>
            <w:noWrap/>
            <w:vAlign w:val="bottom"/>
            <w:hideMark/>
          </w:tcPr>
          <w:p w14:paraId="10DB0A8D" w14:textId="77777777" w:rsidR="00A14A03" w:rsidRPr="00062EAD" w:rsidRDefault="00A14A03" w:rsidP="00AE2262">
            <w:pPr>
              <w:spacing w:after="200" w:line="276" w:lineRule="auto"/>
              <w:rPr>
                <w:rFonts w:ascii="Times New Roman" w:eastAsia="Times New Roman" w:hAnsi="Times New Roman" w:cs="Times New Roman"/>
                <w:color w:val="000000"/>
                <w:sz w:val="22"/>
                <w:szCs w:val="22"/>
                <w:shd w:val="clear" w:color="auto" w:fill="FFFFFF"/>
              </w:rPr>
            </w:pPr>
            <w:r w:rsidRPr="00062EAD">
              <w:rPr>
                <w:rFonts w:ascii="Times New Roman" w:eastAsia="Times New Roman" w:hAnsi="Times New Roman" w:cs="Times New Roman"/>
                <w:color w:val="000000"/>
                <w:sz w:val="22"/>
                <w:szCs w:val="22"/>
                <w:shd w:val="clear" w:color="auto" w:fill="FFFFFF"/>
              </w:rPr>
              <w:t>5</w:t>
            </w:r>
          </w:p>
        </w:tc>
        <w:tc>
          <w:tcPr>
            <w:tcW w:w="1322" w:type="dxa"/>
            <w:tcBorders>
              <w:top w:val="nil"/>
              <w:left w:val="nil"/>
              <w:bottom w:val="nil"/>
              <w:right w:val="nil"/>
            </w:tcBorders>
            <w:shd w:val="clear" w:color="auto" w:fill="auto"/>
            <w:noWrap/>
            <w:vAlign w:val="bottom"/>
            <w:hideMark/>
          </w:tcPr>
          <w:p w14:paraId="3E307FFD" w14:textId="77777777" w:rsidR="00A14A03" w:rsidRPr="00062EAD" w:rsidRDefault="00A14A03" w:rsidP="00AE2262">
            <w:pPr>
              <w:spacing w:after="200" w:line="276" w:lineRule="auto"/>
              <w:rPr>
                <w:rFonts w:ascii="Times New Roman" w:eastAsia="Times New Roman" w:hAnsi="Times New Roman" w:cs="Times New Roman"/>
                <w:color w:val="000000"/>
                <w:sz w:val="22"/>
                <w:szCs w:val="22"/>
                <w:shd w:val="clear" w:color="auto" w:fill="FFFFFF"/>
              </w:rPr>
            </w:pPr>
            <w:r w:rsidRPr="00062EAD">
              <w:rPr>
                <w:rFonts w:ascii="Times New Roman" w:eastAsia="Times New Roman" w:hAnsi="Times New Roman" w:cs="Times New Roman"/>
                <w:color w:val="000000"/>
                <w:sz w:val="22"/>
                <w:szCs w:val="22"/>
                <w:shd w:val="clear" w:color="auto" w:fill="FFFFFF"/>
              </w:rPr>
              <w:t>294,000</w:t>
            </w:r>
          </w:p>
        </w:tc>
        <w:tc>
          <w:tcPr>
            <w:tcW w:w="1350" w:type="dxa"/>
            <w:tcBorders>
              <w:top w:val="nil"/>
              <w:left w:val="nil"/>
              <w:bottom w:val="nil"/>
              <w:right w:val="nil"/>
            </w:tcBorders>
            <w:shd w:val="clear" w:color="auto" w:fill="auto"/>
            <w:noWrap/>
            <w:vAlign w:val="bottom"/>
            <w:hideMark/>
          </w:tcPr>
          <w:p w14:paraId="65AAF2A9" w14:textId="77777777" w:rsidR="00A14A03" w:rsidRPr="00062EAD" w:rsidRDefault="00A14A03" w:rsidP="00AE2262">
            <w:pPr>
              <w:spacing w:after="200" w:line="276" w:lineRule="auto"/>
              <w:rPr>
                <w:rFonts w:ascii="Times New Roman" w:eastAsia="Times New Roman" w:hAnsi="Times New Roman" w:cs="Times New Roman"/>
                <w:color w:val="000000"/>
                <w:sz w:val="22"/>
                <w:szCs w:val="22"/>
                <w:shd w:val="clear" w:color="auto" w:fill="FFFFFF"/>
              </w:rPr>
            </w:pPr>
            <w:r w:rsidRPr="00062EAD">
              <w:rPr>
                <w:rFonts w:ascii="Times New Roman" w:eastAsia="Times New Roman" w:hAnsi="Times New Roman" w:cs="Times New Roman"/>
                <w:color w:val="000000"/>
                <w:sz w:val="22"/>
                <w:szCs w:val="22"/>
                <w:shd w:val="clear" w:color="auto" w:fill="FFFFFF"/>
              </w:rPr>
              <w:t>150,000</w:t>
            </w:r>
          </w:p>
        </w:tc>
        <w:tc>
          <w:tcPr>
            <w:tcW w:w="810" w:type="dxa"/>
            <w:tcBorders>
              <w:top w:val="nil"/>
              <w:left w:val="nil"/>
              <w:bottom w:val="nil"/>
              <w:right w:val="nil"/>
            </w:tcBorders>
            <w:shd w:val="clear" w:color="auto" w:fill="auto"/>
            <w:noWrap/>
            <w:vAlign w:val="bottom"/>
            <w:hideMark/>
          </w:tcPr>
          <w:p w14:paraId="6A2C30DB" w14:textId="77777777" w:rsidR="00A14A03" w:rsidRPr="00062EAD" w:rsidRDefault="00A14A03" w:rsidP="00AE2262">
            <w:pPr>
              <w:spacing w:after="200" w:line="276" w:lineRule="auto"/>
              <w:rPr>
                <w:rFonts w:ascii="Times New Roman" w:eastAsia="Times New Roman" w:hAnsi="Times New Roman" w:cs="Times New Roman"/>
                <w:color w:val="000000"/>
                <w:sz w:val="22"/>
                <w:szCs w:val="22"/>
                <w:shd w:val="clear" w:color="auto" w:fill="FFFFFF"/>
              </w:rPr>
            </w:pPr>
            <w:r w:rsidRPr="00062EAD">
              <w:rPr>
                <w:rFonts w:ascii="Times New Roman" w:eastAsia="Times New Roman" w:hAnsi="Times New Roman" w:cs="Times New Roman"/>
                <w:color w:val="000000"/>
                <w:sz w:val="22"/>
                <w:szCs w:val="22"/>
                <w:shd w:val="clear" w:color="auto" w:fill="FFFFFF"/>
              </w:rPr>
              <w:t>9.1</w:t>
            </w:r>
          </w:p>
        </w:tc>
        <w:tc>
          <w:tcPr>
            <w:tcW w:w="990" w:type="dxa"/>
            <w:tcBorders>
              <w:top w:val="nil"/>
              <w:left w:val="nil"/>
              <w:bottom w:val="nil"/>
              <w:right w:val="nil"/>
            </w:tcBorders>
            <w:shd w:val="clear" w:color="auto" w:fill="auto"/>
            <w:noWrap/>
            <w:vAlign w:val="bottom"/>
            <w:hideMark/>
          </w:tcPr>
          <w:p w14:paraId="3C5B3E3D" w14:textId="77777777" w:rsidR="00A14A03" w:rsidRPr="00062EAD" w:rsidRDefault="00A14A03" w:rsidP="00AE2262">
            <w:pPr>
              <w:spacing w:after="200" w:line="276" w:lineRule="auto"/>
              <w:rPr>
                <w:rFonts w:ascii="Times New Roman" w:eastAsia="Times New Roman" w:hAnsi="Times New Roman" w:cs="Times New Roman"/>
                <w:color w:val="000000"/>
                <w:sz w:val="22"/>
                <w:szCs w:val="22"/>
                <w:shd w:val="clear" w:color="auto" w:fill="FFFFFF"/>
              </w:rPr>
            </w:pPr>
            <w:r w:rsidRPr="00062EAD">
              <w:rPr>
                <w:rFonts w:ascii="Times New Roman" w:eastAsia="Times New Roman" w:hAnsi="Times New Roman" w:cs="Times New Roman"/>
                <w:color w:val="000000"/>
                <w:sz w:val="22"/>
                <w:szCs w:val="22"/>
                <w:shd w:val="clear" w:color="auto" w:fill="FFFFFF"/>
              </w:rPr>
              <w:t>10.4</w:t>
            </w:r>
          </w:p>
        </w:tc>
      </w:tr>
      <w:tr w:rsidR="00A14A03" w:rsidRPr="00062EAD" w14:paraId="50FFAE8C" w14:textId="77777777" w:rsidTr="00AE2262">
        <w:trPr>
          <w:trHeight w:val="300"/>
        </w:trPr>
        <w:tc>
          <w:tcPr>
            <w:tcW w:w="915" w:type="dxa"/>
            <w:tcBorders>
              <w:top w:val="nil"/>
              <w:left w:val="nil"/>
              <w:bottom w:val="nil"/>
              <w:right w:val="nil"/>
            </w:tcBorders>
            <w:shd w:val="clear" w:color="auto" w:fill="auto"/>
            <w:noWrap/>
            <w:vAlign w:val="bottom"/>
            <w:hideMark/>
          </w:tcPr>
          <w:p w14:paraId="3997B51E" w14:textId="77777777" w:rsidR="00A14A03" w:rsidRPr="00062EAD" w:rsidRDefault="00A14A03" w:rsidP="00AE2262">
            <w:pPr>
              <w:spacing w:after="200" w:line="276" w:lineRule="auto"/>
              <w:rPr>
                <w:rFonts w:ascii="Times New Roman" w:eastAsia="Times New Roman" w:hAnsi="Times New Roman" w:cs="Times New Roman"/>
                <w:color w:val="000000"/>
                <w:sz w:val="22"/>
                <w:szCs w:val="22"/>
                <w:shd w:val="clear" w:color="auto" w:fill="FFFFFF"/>
              </w:rPr>
            </w:pPr>
            <w:r w:rsidRPr="00062EAD">
              <w:rPr>
                <w:rFonts w:ascii="Times New Roman" w:eastAsia="Times New Roman" w:hAnsi="Times New Roman" w:cs="Times New Roman"/>
                <w:color w:val="000000"/>
                <w:sz w:val="22"/>
                <w:szCs w:val="22"/>
                <w:shd w:val="clear" w:color="auto" w:fill="FFFFFF"/>
              </w:rPr>
              <w:t>16</w:t>
            </w:r>
          </w:p>
        </w:tc>
        <w:tc>
          <w:tcPr>
            <w:tcW w:w="4500" w:type="dxa"/>
            <w:tcBorders>
              <w:top w:val="nil"/>
              <w:left w:val="nil"/>
              <w:bottom w:val="nil"/>
              <w:right w:val="nil"/>
            </w:tcBorders>
            <w:shd w:val="clear" w:color="auto" w:fill="auto"/>
            <w:noWrap/>
            <w:vAlign w:val="bottom"/>
            <w:hideMark/>
          </w:tcPr>
          <w:p w14:paraId="0C0C22E2" w14:textId="77777777" w:rsidR="00A14A03" w:rsidRPr="00062EAD" w:rsidRDefault="00A14A03" w:rsidP="00AE2262">
            <w:pPr>
              <w:spacing w:after="200" w:line="276" w:lineRule="auto"/>
              <w:rPr>
                <w:rFonts w:ascii="Times New Roman" w:eastAsia="Times New Roman" w:hAnsi="Times New Roman" w:cs="Times New Roman"/>
                <w:color w:val="000000"/>
                <w:sz w:val="22"/>
                <w:szCs w:val="22"/>
                <w:shd w:val="clear" w:color="auto" w:fill="FFFFFF"/>
              </w:rPr>
            </w:pPr>
            <w:r w:rsidRPr="00062EAD">
              <w:rPr>
                <w:rFonts w:ascii="Times New Roman" w:eastAsia="Times New Roman" w:hAnsi="Times New Roman" w:cs="Times New Roman"/>
                <w:color w:val="000000"/>
                <w:sz w:val="22"/>
                <w:szCs w:val="22"/>
                <w:shd w:val="clear" w:color="auto" w:fill="FFFFFF"/>
              </w:rPr>
              <w:t>Heavy Construction, Except Building</w:t>
            </w:r>
          </w:p>
        </w:tc>
        <w:tc>
          <w:tcPr>
            <w:tcW w:w="1165" w:type="dxa"/>
            <w:tcBorders>
              <w:top w:val="nil"/>
              <w:left w:val="nil"/>
              <w:bottom w:val="nil"/>
              <w:right w:val="nil"/>
            </w:tcBorders>
            <w:shd w:val="clear" w:color="auto" w:fill="auto"/>
            <w:noWrap/>
            <w:vAlign w:val="bottom"/>
            <w:hideMark/>
          </w:tcPr>
          <w:p w14:paraId="48A2E98E" w14:textId="77777777" w:rsidR="00A14A03" w:rsidRPr="00062EAD" w:rsidRDefault="00A14A03" w:rsidP="00AE2262">
            <w:pPr>
              <w:spacing w:after="200" w:line="276" w:lineRule="auto"/>
              <w:rPr>
                <w:rFonts w:ascii="Times New Roman" w:eastAsia="Times New Roman" w:hAnsi="Times New Roman" w:cs="Times New Roman"/>
                <w:color w:val="000000"/>
                <w:sz w:val="22"/>
                <w:szCs w:val="22"/>
                <w:shd w:val="clear" w:color="auto" w:fill="FFFFFF"/>
              </w:rPr>
            </w:pPr>
            <w:r w:rsidRPr="00062EAD">
              <w:rPr>
                <w:rFonts w:ascii="Times New Roman" w:eastAsia="Times New Roman" w:hAnsi="Times New Roman" w:cs="Times New Roman"/>
                <w:color w:val="000000"/>
                <w:sz w:val="22"/>
                <w:szCs w:val="22"/>
                <w:shd w:val="clear" w:color="auto" w:fill="FFFFFF"/>
              </w:rPr>
              <w:t>5</w:t>
            </w:r>
          </w:p>
        </w:tc>
        <w:tc>
          <w:tcPr>
            <w:tcW w:w="1322" w:type="dxa"/>
            <w:tcBorders>
              <w:top w:val="nil"/>
              <w:left w:val="nil"/>
              <w:bottom w:val="nil"/>
              <w:right w:val="nil"/>
            </w:tcBorders>
            <w:shd w:val="clear" w:color="auto" w:fill="auto"/>
            <w:noWrap/>
            <w:vAlign w:val="bottom"/>
            <w:hideMark/>
          </w:tcPr>
          <w:p w14:paraId="2CE6C1EE" w14:textId="77777777" w:rsidR="00A14A03" w:rsidRPr="00062EAD" w:rsidRDefault="00A14A03" w:rsidP="00AE2262">
            <w:pPr>
              <w:spacing w:after="200" w:line="276" w:lineRule="auto"/>
              <w:rPr>
                <w:rFonts w:ascii="Times New Roman" w:eastAsia="Times New Roman" w:hAnsi="Times New Roman" w:cs="Times New Roman"/>
                <w:color w:val="000000"/>
                <w:sz w:val="22"/>
                <w:szCs w:val="22"/>
                <w:shd w:val="clear" w:color="auto" w:fill="FFFFFF"/>
              </w:rPr>
            </w:pPr>
            <w:r w:rsidRPr="00062EAD">
              <w:rPr>
                <w:rFonts w:ascii="Times New Roman" w:eastAsia="Times New Roman" w:hAnsi="Times New Roman" w:cs="Times New Roman"/>
                <w:color w:val="000000"/>
                <w:sz w:val="22"/>
                <w:szCs w:val="22"/>
                <w:shd w:val="clear" w:color="auto" w:fill="FFFFFF"/>
              </w:rPr>
              <w:t>282,000</w:t>
            </w:r>
          </w:p>
        </w:tc>
        <w:tc>
          <w:tcPr>
            <w:tcW w:w="1350" w:type="dxa"/>
            <w:tcBorders>
              <w:top w:val="nil"/>
              <w:left w:val="nil"/>
              <w:bottom w:val="nil"/>
              <w:right w:val="nil"/>
            </w:tcBorders>
            <w:shd w:val="clear" w:color="auto" w:fill="auto"/>
            <w:noWrap/>
            <w:vAlign w:val="bottom"/>
            <w:hideMark/>
          </w:tcPr>
          <w:p w14:paraId="2BAA9D08" w14:textId="77777777" w:rsidR="00A14A03" w:rsidRPr="00062EAD" w:rsidRDefault="00A14A03" w:rsidP="00AE2262">
            <w:pPr>
              <w:spacing w:after="200" w:line="276" w:lineRule="auto"/>
              <w:rPr>
                <w:rFonts w:ascii="Times New Roman" w:eastAsia="Times New Roman" w:hAnsi="Times New Roman" w:cs="Times New Roman"/>
                <w:color w:val="000000"/>
                <w:sz w:val="22"/>
                <w:szCs w:val="22"/>
                <w:shd w:val="clear" w:color="auto" w:fill="FFFFFF"/>
              </w:rPr>
            </w:pPr>
            <w:r w:rsidRPr="00062EAD">
              <w:rPr>
                <w:rFonts w:ascii="Times New Roman" w:eastAsia="Times New Roman" w:hAnsi="Times New Roman" w:cs="Times New Roman"/>
                <w:color w:val="000000"/>
                <w:sz w:val="22"/>
                <w:szCs w:val="22"/>
                <w:shd w:val="clear" w:color="auto" w:fill="FFFFFF"/>
              </w:rPr>
              <w:t>120,000</w:t>
            </w:r>
          </w:p>
        </w:tc>
        <w:tc>
          <w:tcPr>
            <w:tcW w:w="810" w:type="dxa"/>
            <w:tcBorders>
              <w:top w:val="nil"/>
              <w:left w:val="nil"/>
              <w:bottom w:val="nil"/>
              <w:right w:val="nil"/>
            </w:tcBorders>
            <w:shd w:val="clear" w:color="auto" w:fill="auto"/>
            <w:noWrap/>
            <w:vAlign w:val="bottom"/>
            <w:hideMark/>
          </w:tcPr>
          <w:p w14:paraId="4B570004" w14:textId="77777777" w:rsidR="00A14A03" w:rsidRPr="00062EAD" w:rsidRDefault="00A14A03" w:rsidP="00AE2262">
            <w:pPr>
              <w:spacing w:after="200" w:line="276" w:lineRule="auto"/>
              <w:rPr>
                <w:rFonts w:ascii="Times New Roman" w:eastAsia="Times New Roman" w:hAnsi="Times New Roman" w:cs="Times New Roman"/>
                <w:color w:val="000000"/>
                <w:sz w:val="22"/>
                <w:szCs w:val="22"/>
                <w:shd w:val="clear" w:color="auto" w:fill="FFFFFF"/>
              </w:rPr>
            </w:pPr>
            <w:r w:rsidRPr="00062EAD">
              <w:rPr>
                <w:rFonts w:ascii="Times New Roman" w:eastAsia="Times New Roman" w:hAnsi="Times New Roman" w:cs="Times New Roman"/>
                <w:color w:val="000000"/>
                <w:sz w:val="22"/>
                <w:szCs w:val="22"/>
                <w:shd w:val="clear" w:color="auto" w:fill="FFFFFF"/>
              </w:rPr>
              <w:t>8.0</w:t>
            </w:r>
          </w:p>
        </w:tc>
        <w:tc>
          <w:tcPr>
            <w:tcW w:w="990" w:type="dxa"/>
            <w:tcBorders>
              <w:top w:val="nil"/>
              <w:left w:val="nil"/>
              <w:bottom w:val="nil"/>
              <w:right w:val="nil"/>
            </w:tcBorders>
            <w:shd w:val="clear" w:color="auto" w:fill="auto"/>
            <w:noWrap/>
            <w:vAlign w:val="bottom"/>
            <w:hideMark/>
          </w:tcPr>
          <w:p w14:paraId="63A87790" w14:textId="77777777" w:rsidR="00A14A03" w:rsidRPr="00062EAD" w:rsidRDefault="00A14A03" w:rsidP="00AE2262">
            <w:pPr>
              <w:spacing w:after="200" w:line="276" w:lineRule="auto"/>
              <w:rPr>
                <w:rFonts w:ascii="Times New Roman" w:eastAsia="Times New Roman" w:hAnsi="Times New Roman" w:cs="Times New Roman"/>
                <w:color w:val="000000"/>
                <w:sz w:val="22"/>
                <w:szCs w:val="22"/>
                <w:shd w:val="clear" w:color="auto" w:fill="FFFFFF"/>
              </w:rPr>
            </w:pPr>
            <w:r w:rsidRPr="00062EAD">
              <w:rPr>
                <w:rFonts w:ascii="Times New Roman" w:eastAsia="Times New Roman" w:hAnsi="Times New Roman" w:cs="Times New Roman"/>
                <w:color w:val="000000"/>
                <w:sz w:val="22"/>
                <w:szCs w:val="22"/>
                <w:shd w:val="clear" w:color="auto" w:fill="FFFFFF"/>
              </w:rPr>
              <w:t>8.1</w:t>
            </w:r>
          </w:p>
        </w:tc>
      </w:tr>
      <w:tr w:rsidR="00A14A03" w:rsidRPr="00062EAD" w14:paraId="3FA2F24D" w14:textId="77777777" w:rsidTr="00AE2262">
        <w:trPr>
          <w:trHeight w:val="300"/>
        </w:trPr>
        <w:tc>
          <w:tcPr>
            <w:tcW w:w="915" w:type="dxa"/>
            <w:tcBorders>
              <w:top w:val="nil"/>
              <w:left w:val="nil"/>
              <w:bottom w:val="nil"/>
              <w:right w:val="nil"/>
            </w:tcBorders>
            <w:shd w:val="clear" w:color="auto" w:fill="auto"/>
            <w:noWrap/>
            <w:vAlign w:val="bottom"/>
            <w:hideMark/>
          </w:tcPr>
          <w:p w14:paraId="7BD80586" w14:textId="77777777" w:rsidR="00A14A03" w:rsidRPr="00062EAD" w:rsidRDefault="00A14A03" w:rsidP="00AE2262">
            <w:pPr>
              <w:spacing w:after="200" w:line="276" w:lineRule="auto"/>
              <w:rPr>
                <w:rFonts w:ascii="Times New Roman" w:eastAsia="Times New Roman" w:hAnsi="Times New Roman" w:cs="Times New Roman"/>
                <w:color w:val="000000"/>
                <w:sz w:val="22"/>
                <w:szCs w:val="22"/>
                <w:shd w:val="clear" w:color="auto" w:fill="FFFFFF"/>
              </w:rPr>
            </w:pPr>
            <w:r w:rsidRPr="00062EAD">
              <w:rPr>
                <w:rFonts w:ascii="Times New Roman" w:eastAsia="Times New Roman" w:hAnsi="Times New Roman" w:cs="Times New Roman"/>
                <w:color w:val="000000"/>
                <w:sz w:val="22"/>
                <w:szCs w:val="22"/>
                <w:shd w:val="clear" w:color="auto" w:fill="FFFFFF"/>
              </w:rPr>
              <w:t>34</w:t>
            </w:r>
          </w:p>
        </w:tc>
        <w:tc>
          <w:tcPr>
            <w:tcW w:w="4500" w:type="dxa"/>
            <w:tcBorders>
              <w:top w:val="nil"/>
              <w:left w:val="nil"/>
              <w:bottom w:val="nil"/>
              <w:right w:val="nil"/>
            </w:tcBorders>
            <w:shd w:val="clear" w:color="auto" w:fill="auto"/>
            <w:noWrap/>
            <w:vAlign w:val="bottom"/>
            <w:hideMark/>
          </w:tcPr>
          <w:p w14:paraId="2958EFA0" w14:textId="77777777" w:rsidR="00A14A03" w:rsidRPr="00062EAD" w:rsidRDefault="00A14A03" w:rsidP="00AE2262">
            <w:pPr>
              <w:spacing w:after="200" w:line="276" w:lineRule="auto"/>
              <w:rPr>
                <w:rFonts w:ascii="Times New Roman" w:eastAsia="Times New Roman" w:hAnsi="Times New Roman" w:cs="Times New Roman"/>
                <w:color w:val="000000"/>
                <w:sz w:val="22"/>
                <w:szCs w:val="22"/>
                <w:shd w:val="clear" w:color="auto" w:fill="FFFFFF"/>
              </w:rPr>
            </w:pPr>
            <w:r w:rsidRPr="00062EAD">
              <w:rPr>
                <w:rFonts w:ascii="Times New Roman" w:eastAsia="Times New Roman" w:hAnsi="Times New Roman" w:cs="Times New Roman"/>
                <w:color w:val="000000"/>
                <w:sz w:val="22"/>
                <w:szCs w:val="22"/>
                <w:shd w:val="clear" w:color="auto" w:fill="FFFFFF"/>
              </w:rPr>
              <w:t xml:space="preserve"> Fabricated Metal Products</w:t>
            </w:r>
          </w:p>
        </w:tc>
        <w:tc>
          <w:tcPr>
            <w:tcW w:w="1165" w:type="dxa"/>
            <w:tcBorders>
              <w:top w:val="nil"/>
              <w:left w:val="nil"/>
              <w:bottom w:val="nil"/>
              <w:right w:val="nil"/>
            </w:tcBorders>
            <w:shd w:val="clear" w:color="auto" w:fill="auto"/>
            <w:noWrap/>
            <w:vAlign w:val="bottom"/>
            <w:hideMark/>
          </w:tcPr>
          <w:p w14:paraId="53ED9009" w14:textId="77777777" w:rsidR="00A14A03" w:rsidRPr="00062EAD" w:rsidRDefault="00A14A03" w:rsidP="00AE2262">
            <w:pPr>
              <w:spacing w:after="200" w:line="276" w:lineRule="auto"/>
              <w:rPr>
                <w:rFonts w:ascii="Times New Roman" w:eastAsia="Times New Roman" w:hAnsi="Times New Roman" w:cs="Times New Roman"/>
                <w:color w:val="000000"/>
                <w:sz w:val="22"/>
                <w:szCs w:val="22"/>
                <w:shd w:val="clear" w:color="auto" w:fill="FFFFFF"/>
              </w:rPr>
            </w:pPr>
            <w:r w:rsidRPr="00062EAD">
              <w:rPr>
                <w:rFonts w:ascii="Times New Roman" w:eastAsia="Times New Roman" w:hAnsi="Times New Roman" w:cs="Times New Roman"/>
                <w:color w:val="000000"/>
                <w:sz w:val="22"/>
                <w:szCs w:val="22"/>
                <w:shd w:val="clear" w:color="auto" w:fill="FFFFFF"/>
              </w:rPr>
              <w:t>4</w:t>
            </w:r>
          </w:p>
        </w:tc>
        <w:tc>
          <w:tcPr>
            <w:tcW w:w="1322" w:type="dxa"/>
            <w:tcBorders>
              <w:top w:val="nil"/>
              <w:left w:val="nil"/>
              <w:bottom w:val="nil"/>
              <w:right w:val="nil"/>
            </w:tcBorders>
            <w:shd w:val="clear" w:color="auto" w:fill="auto"/>
            <w:noWrap/>
            <w:vAlign w:val="bottom"/>
            <w:hideMark/>
          </w:tcPr>
          <w:p w14:paraId="5BBB8AFA" w14:textId="77777777" w:rsidR="00A14A03" w:rsidRPr="00062EAD" w:rsidRDefault="00A14A03" w:rsidP="00AE2262">
            <w:pPr>
              <w:spacing w:after="200" w:line="276" w:lineRule="auto"/>
              <w:rPr>
                <w:rFonts w:ascii="Times New Roman" w:eastAsia="Times New Roman" w:hAnsi="Times New Roman" w:cs="Times New Roman"/>
                <w:color w:val="000000"/>
                <w:sz w:val="22"/>
                <w:szCs w:val="22"/>
                <w:shd w:val="clear" w:color="auto" w:fill="FFFFFF"/>
              </w:rPr>
            </w:pPr>
            <w:r w:rsidRPr="00062EAD">
              <w:rPr>
                <w:rFonts w:ascii="Times New Roman" w:eastAsia="Times New Roman" w:hAnsi="Times New Roman" w:cs="Times New Roman"/>
                <w:color w:val="000000"/>
                <w:sz w:val="22"/>
                <w:szCs w:val="22"/>
                <w:shd w:val="clear" w:color="auto" w:fill="FFFFFF"/>
              </w:rPr>
              <w:t>47,500</w:t>
            </w:r>
          </w:p>
        </w:tc>
        <w:tc>
          <w:tcPr>
            <w:tcW w:w="1350" w:type="dxa"/>
            <w:tcBorders>
              <w:top w:val="nil"/>
              <w:left w:val="nil"/>
              <w:bottom w:val="nil"/>
              <w:right w:val="nil"/>
            </w:tcBorders>
            <w:shd w:val="clear" w:color="auto" w:fill="auto"/>
            <w:noWrap/>
            <w:vAlign w:val="bottom"/>
            <w:hideMark/>
          </w:tcPr>
          <w:p w14:paraId="44CF6D44" w14:textId="77777777" w:rsidR="00A14A03" w:rsidRPr="00062EAD" w:rsidRDefault="00A14A03" w:rsidP="00AE2262">
            <w:pPr>
              <w:spacing w:after="200" w:line="276" w:lineRule="auto"/>
              <w:rPr>
                <w:rFonts w:ascii="Times New Roman" w:eastAsia="Times New Roman" w:hAnsi="Times New Roman" w:cs="Times New Roman"/>
                <w:color w:val="000000"/>
                <w:sz w:val="22"/>
                <w:szCs w:val="22"/>
                <w:shd w:val="clear" w:color="auto" w:fill="FFFFFF"/>
              </w:rPr>
            </w:pPr>
            <w:r w:rsidRPr="00062EAD">
              <w:rPr>
                <w:rFonts w:ascii="Times New Roman" w:eastAsia="Times New Roman" w:hAnsi="Times New Roman" w:cs="Times New Roman"/>
                <w:color w:val="000000"/>
                <w:sz w:val="22"/>
                <w:szCs w:val="22"/>
                <w:shd w:val="clear" w:color="auto" w:fill="FFFFFF"/>
              </w:rPr>
              <w:t>40,000</w:t>
            </w:r>
          </w:p>
        </w:tc>
        <w:tc>
          <w:tcPr>
            <w:tcW w:w="810" w:type="dxa"/>
            <w:tcBorders>
              <w:top w:val="nil"/>
              <w:left w:val="nil"/>
              <w:bottom w:val="nil"/>
              <w:right w:val="nil"/>
            </w:tcBorders>
            <w:shd w:val="clear" w:color="auto" w:fill="auto"/>
            <w:noWrap/>
            <w:vAlign w:val="bottom"/>
            <w:hideMark/>
          </w:tcPr>
          <w:p w14:paraId="649F9860" w14:textId="77777777" w:rsidR="00A14A03" w:rsidRPr="00062EAD" w:rsidRDefault="00A14A03" w:rsidP="00AE2262">
            <w:pPr>
              <w:spacing w:after="200" w:line="276" w:lineRule="auto"/>
              <w:rPr>
                <w:rFonts w:ascii="Times New Roman" w:eastAsia="Times New Roman" w:hAnsi="Times New Roman" w:cs="Times New Roman"/>
                <w:color w:val="000000"/>
                <w:sz w:val="22"/>
                <w:szCs w:val="22"/>
                <w:shd w:val="clear" w:color="auto" w:fill="FFFFFF"/>
              </w:rPr>
            </w:pPr>
            <w:r w:rsidRPr="00062EAD">
              <w:rPr>
                <w:rFonts w:ascii="Times New Roman" w:eastAsia="Times New Roman" w:hAnsi="Times New Roman" w:cs="Times New Roman"/>
                <w:color w:val="000000"/>
                <w:sz w:val="22"/>
                <w:szCs w:val="22"/>
                <w:shd w:val="clear" w:color="auto" w:fill="FFFFFF"/>
              </w:rPr>
              <w:t>0.8</w:t>
            </w:r>
          </w:p>
        </w:tc>
        <w:tc>
          <w:tcPr>
            <w:tcW w:w="990" w:type="dxa"/>
            <w:tcBorders>
              <w:top w:val="nil"/>
              <w:left w:val="nil"/>
              <w:bottom w:val="nil"/>
              <w:right w:val="nil"/>
            </w:tcBorders>
            <w:shd w:val="clear" w:color="auto" w:fill="auto"/>
            <w:noWrap/>
            <w:vAlign w:val="bottom"/>
            <w:hideMark/>
          </w:tcPr>
          <w:p w14:paraId="59A59070" w14:textId="77777777" w:rsidR="00A14A03" w:rsidRPr="00062EAD" w:rsidRDefault="00A14A03" w:rsidP="00AE2262">
            <w:pPr>
              <w:spacing w:after="200" w:line="276" w:lineRule="auto"/>
              <w:rPr>
                <w:rFonts w:ascii="Times New Roman" w:eastAsia="Times New Roman" w:hAnsi="Times New Roman" w:cs="Times New Roman"/>
                <w:color w:val="000000"/>
                <w:sz w:val="22"/>
                <w:szCs w:val="22"/>
                <w:shd w:val="clear" w:color="auto" w:fill="FFFFFF"/>
              </w:rPr>
            </w:pPr>
            <w:r w:rsidRPr="00062EAD">
              <w:rPr>
                <w:rFonts w:ascii="Times New Roman" w:eastAsia="Times New Roman" w:hAnsi="Times New Roman" w:cs="Times New Roman"/>
                <w:color w:val="000000"/>
                <w:sz w:val="22"/>
                <w:szCs w:val="22"/>
                <w:shd w:val="clear" w:color="auto" w:fill="FFFFFF"/>
              </w:rPr>
              <w:t>0.7</w:t>
            </w:r>
          </w:p>
        </w:tc>
      </w:tr>
      <w:tr w:rsidR="00A14A03" w:rsidRPr="00062EAD" w14:paraId="50FF81EF" w14:textId="77777777" w:rsidTr="00AE2262">
        <w:trPr>
          <w:trHeight w:val="300"/>
        </w:trPr>
        <w:tc>
          <w:tcPr>
            <w:tcW w:w="915" w:type="dxa"/>
            <w:tcBorders>
              <w:top w:val="nil"/>
              <w:left w:val="nil"/>
              <w:bottom w:val="nil"/>
              <w:right w:val="nil"/>
            </w:tcBorders>
            <w:shd w:val="clear" w:color="auto" w:fill="auto"/>
            <w:noWrap/>
            <w:vAlign w:val="bottom"/>
            <w:hideMark/>
          </w:tcPr>
          <w:p w14:paraId="6936571A" w14:textId="77777777" w:rsidR="00A14A03" w:rsidRPr="00062EAD" w:rsidRDefault="00A14A03" w:rsidP="00AE2262">
            <w:pPr>
              <w:spacing w:after="200" w:line="276" w:lineRule="auto"/>
              <w:rPr>
                <w:rFonts w:ascii="Times New Roman" w:eastAsia="Times New Roman" w:hAnsi="Times New Roman" w:cs="Times New Roman"/>
                <w:color w:val="000000"/>
                <w:sz w:val="22"/>
                <w:szCs w:val="22"/>
                <w:shd w:val="clear" w:color="auto" w:fill="FFFFFF"/>
              </w:rPr>
            </w:pPr>
            <w:r w:rsidRPr="00062EAD">
              <w:rPr>
                <w:rFonts w:ascii="Times New Roman" w:eastAsia="Times New Roman" w:hAnsi="Times New Roman" w:cs="Times New Roman"/>
                <w:color w:val="000000"/>
                <w:sz w:val="22"/>
                <w:szCs w:val="22"/>
                <w:shd w:val="clear" w:color="auto" w:fill="FFFFFF"/>
              </w:rPr>
              <w:lastRenderedPageBreak/>
              <w:t>82</w:t>
            </w:r>
          </w:p>
        </w:tc>
        <w:tc>
          <w:tcPr>
            <w:tcW w:w="4500" w:type="dxa"/>
            <w:tcBorders>
              <w:top w:val="nil"/>
              <w:left w:val="nil"/>
              <w:bottom w:val="nil"/>
              <w:right w:val="nil"/>
            </w:tcBorders>
            <w:shd w:val="clear" w:color="auto" w:fill="auto"/>
            <w:noWrap/>
            <w:vAlign w:val="bottom"/>
            <w:hideMark/>
          </w:tcPr>
          <w:p w14:paraId="64B86632" w14:textId="77777777" w:rsidR="00A14A03" w:rsidRPr="00062EAD" w:rsidRDefault="00A14A03" w:rsidP="00AE2262">
            <w:pPr>
              <w:spacing w:after="200" w:line="276" w:lineRule="auto"/>
              <w:rPr>
                <w:rFonts w:ascii="Times New Roman" w:eastAsia="Times New Roman" w:hAnsi="Times New Roman" w:cs="Times New Roman"/>
                <w:color w:val="000000"/>
                <w:sz w:val="22"/>
                <w:szCs w:val="22"/>
                <w:shd w:val="clear" w:color="auto" w:fill="FFFFFF"/>
              </w:rPr>
            </w:pPr>
            <w:r w:rsidRPr="00062EAD">
              <w:rPr>
                <w:rFonts w:ascii="Times New Roman" w:eastAsia="Times New Roman" w:hAnsi="Times New Roman" w:cs="Times New Roman"/>
                <w:color w:val="000000"/>
                <w:sz w:val="22"/>
                <w:szCs w:val="22"/>
                <w:shd w:val="clear" w:color="auto" w:fill="FFFFFF"/>
              </w:rPr>
              <w:t>Educational Services</w:t>
            </w:r>
          </w:p>
        </w:tc>
        <w:tc>
          <w:tcPr>
            <w:tcW w:w="1165" w:type="dxa"/>
            <w:tcBorders>
              <w:top w:val="nil"/>
              <w:left w:val="nil"/>
              <w:bottom w:val="nil"/>
              <w:right w:val="nil"/>
            </w:tcBorders>
            <w:shd w:val="clear" w:color="auto" w:fill="auto"/>
            <w:noWrap/>
            <w:vAlign w:val="bottom"/>
            <w:hideMark/>
          </w:tcPr>
          <w:p w14:paraId="11357FA2" w14:textId="77777777" w:rsidR="00A14A03" w:rsidRPr="00062EAD" w:rsidRDefault="00A14A03" w:rsidP="00AE2262">
            <w:pPr>
              <w:spacing w:after="200" w:line="276" w:lineRule="auto"/>
              <w:rPr>
                <w:rFonts w:ascii="Times New Roman" w:eastAsia="Times New Roman" w:hAnsi="Times New Roman" w:cs="Times New Roman"/>
                <w:color w:val="000000"/>
                <w:sz w:val="22"/>
                <w:szCs w:val="22"/>
                <w:shd w:val="clear" w:color="auto" w:fill="FFFFFF"/>
              </w:rPr>
            </w:pPr>
            <w:r w:rsidRPr="00062EAD">
              <w:rPr>
                <w:rFonts w:ascii="Times New Roman" w:eastAsia="Times New Roman" w:hAnsi="Times New Roman" w:cs="Times New Roman"/>
                <w:color w:val="000000"/>
                <w:sz w:val="22"/>
                <w:szCs w:val="22"/>
                <w:shd w:val="clear" w:color="auto" w:fill="FFFFFF"/>
              </w:rPr>
              <w:t>2</w:t>
            </w:r>
          </w:p>
        </w:tc>
        <w:tc>
          <w:tcPr>
            <w:tcW w:w="1322" w:type="dxa"/>
            <w:tcBorders>
              <w:top w:val="nil"/>
              <w:left w:val="nil"/>
              <w:bottom w:val="nil"/>
              <w:right w:val="nil"/>
            </w:tcBorders>
            <w:shd w:val="clear" w:color="auto" w:fill="auto"/>
            <w:noWrap/>
            <w:vAlign w:val="bottom"/>
            <w:hideMark/>
          </w:tcPr>
          <w:p w14:paraId="4C6E19CE" w14:textId="77777777" w:rsidR="00A14A03" w:rsidRPr="00062EAD" w:rsidRDefault="00A14A03" w:rsidP="00AE2262">
            <w:pPr>
              <w:spacing w:after="200" w:line="276" w:lineRule="auto"/>
              <w:rPr>
                <w:rFonts w:ascii="Times New Roman" w:eastAsia="Times New Roman" w:hAnsi="Times New Roman" w:cs="Times New Roman"/>
                <w:color w:val="000000"/>
                <w:sz w:val="22"/>
                <w:szCs w:val="22"/>
                <w:shd w:val="clear" w:color="auto" w:fill="FFFFFF"/>
              </w:rPr>
            </w:pPr>
            <w:r w:rsidRPr="00062EAD">
              <w:rPr>
                <w:rFonts w:ascii="Times New Roman" w:eastAsia="Times New Roman" w:hAnsi="Times New Roman" w:cs="Times New Roman"/>
                <w:color w:val="000000"/>
                <w:sz w:val="22"/>
                <w:szCs w:val="22"/>
                <w:shd w:val="clear" w:color="auto" w:fill="FFFFFF"/>
              </w:rPr>
              <w:t>80,000</w:t>
            </w:r>
          </w:p>
        </w:tc>
        <w:tc>
          <w:tcPr>
            <w:tcW w:w="1350" w:type="dxa"/>
            <w:tcBorders>
              <w:top w:val="nil"/>
              <w:left w:val="nil"/>
              <w:bottom w:val="nil"/>
              <w:right w:val="nil"/>
            </w:tcBorders>
            <w:shd w:val="clear" w:color="auto" w:fill="auto"/>
            <w:noWrap/>
            <w:vAlign w:val="bottom"/>
            <w:hideMark/>
          </w:tcPr>
          <w:p w14:paraId="36E0D744" w14:textId="77777777" w:rsidR="00A14A03" w:rsidRPr="00062EAD" w:rsidRDefault="00A14A03" w:rsidP="00AE2262">
            <w:pPr>
              <w:spacing w:after="200" w:line="276" w:lineRule="auto"/>
              <w:rPr>
                <w:rFonts w:ascii="Times New Roman" w:eastAsia="Times New Roman" w:hAnsi="Times New Roman" w:cs="Times New Roman"/>
                <w:color w:val="000000"/>
                <w:sz w:val="22"/>
                <w:szCs w:val="22"/>
                <w:shd w:val="clear" w:color="auto" w:fill="FFFFFF"/>
              </w:rPr>
            </w:pPr>
            <w:r w:rsidRPr="00062EAD">
              <w:rPr>
                <w:rFonts w:ascii="Times New Roman" w:eastAsia="Times New Roman" w:hAnsi="Times New Roman" w:cs="Times New Roman"/>
                <w:color w:val="000000"/>
                <w:sz w:val="22"/>
                <w:szCs w:val="22"/>
                <w:shd w:val="clear" w:color="auto" w:fill="FFFFFF"/>
              </w:rPr>
              <w:t>80,000</w:t>
            </w:r>
          </w:p>
        </w:tc>
        <w:tc>
          <w:tcPr>
            <w:tcW w:w="810" w:type="dxa"/>
            <w:tcBorders>
              <w:top w:val="nil"/>
              <w:left w:val="nil"/>
              <w:bottom w:val="nil"/>
              <w:right w:val="nil"/>
            </w:tcBorders>
            <w:shd w:val="clear" w:color="auto" w:fill="auto"/>
            <w:noWrap/>
            <w:vAlign w:val="bottom"/>
            <w:hideMark/>
          </w:tcPr>
          <w:p w14:paraId="6AAF26F7" w14:textId="77777777" w:rsidR="00A14A03" w:rsidRPr="00062EAD" w:rsidRDefault="00A14A03" w:rsidP="00AE2262">
            <w:pPr>
              <w:spacing w:after="200" w:line="276" w:lineRule="auto"/>
              <w:rPr>
                <w:rFonts w:ascii="Times New Roman" w:eastAsia="Times New Roman" w:hAnsi="Times New Roman" w:cs="Times New Roman"/>
                <w:color w:val="000000"/>
                <w:sz w:val="22"/>
                <w:szCs w:val="22"/>
                <w:shd w:val="clear" w:color="auto" w:fill="FFFFFF"/>
              </w:rPr>
            </w:pPr>
            <w:r w:rsidRPr="00062EAD">
              <w:rPr>
                <w:rFonts w:ascii="Times New Roman" w:eastAsia="Times New Roman" w:hAnsi="Times New Roman" w:cs="Times New Roman"/>
                <w:color w:val="000000"/>
                <w:sz w:val="22"/>
                <w:szCs w:val="22"/>
                <w:shd w:val="clear" w:color="auto" w:fill="FFFFFF"/>
              </w:rPr>
              <w:t>2.3</w:t>
            </w:r>
          </w:p>
        </w:tc>
        <w:tc>
          <w:tcPr>
            <w:tcW w:w="990" w:type="dxa"/>
            <w:tcBorders>
              <w:top w:val="nil"/>
              <w:left w:val="nil"/>
              <w:bottom w:val="nil"/>
              <w:right w:val="nil"/>
            </w:tcBorders>
            <w:shd w:val="clear" w:color="auto" w:fill="auto"/>
            <w:noWrap/>
            <w:vAlign w:val="bottom"/>
            <w:hideMark/>
          </w:tcPr>
          <w:p w14:paraId="5C76B4B6" w14:textId="77777777" w:rsidR="00A14A03" w:rsidRPr="00062EAD" w:rsidRDefault="00A14A03" w:rsidP="00AE2262">
            <w:pPr>
              <w:spacing w:after="200" w:line="276" w:lineRule="auto"/>
              <w:rPr>
                <w:rFonts w:ascii="Times New Roman" w:eastAsia="Times New Roman" w:hAnsi="Times New Roman" w:cs="Times New Roman"/>
                <w:color w:val="000000"/>
                <w:sz w:val="22"/>
                <w:szCs w:val="22"/>
                <w:shd w:val="clear" w:color="auto" w:fill="FFFFFF"/>
              </w:rPr>
            </w:pPr>
            <w:r w:rsidRPr="00062EAD">
              <w:rPr>
                <w:rFonts w:ascii="Times New Roman" w:eastAsia="Times New Roman" w:hAnsi="Times New Roman" w:cs="Times New Roman"/>
                <w:color w:val="000000"/>
                <w:sz w:val="22"/>
                <w:szCs w:val="22"/>
                <w:shd w:val="clear" w:color="auto" w:fill="FFFFFF"/>
              </w:rPr>
              <w:t>2.3</w:t>
            </w:r>
          </w:p>
        </w:tc>
      </w:tr>
      <w:tr w:rsidR="00A14A03" w:rsidRPr="00062EAD" w14:paraId="06D96330" w14:textId="77777777" w:rsidTr="00AE2262">
        <w:trPr>
          <w:trHeight w:val="300"/>
        </w:trPr>
        <w:tc>
          <w:tcPr>
            <w:tcW w:w="915" w:type="dxa"/>
            <w:tcBorders>
              <w:top w:val="nil"/>
              <w:left w:val="nil"/>
              <w:bottom w:val="nil"/>
              <w:right w:val="nil"/>
            </w:tcBorders>
            <w:shd w:val="clear" w:color="auto" w:fill="auto"/>
            <w:noWrap/>
            <w:vAlign w:val="bottom"/>
            <w:hideMark/>
          </w:tcPr>
          <w:p w14:paraId="7528832A" w14:textId="77777777" w:rsidR="00A14A03" w:rsidRPr="00062EAD" w:rsidRDefault="00A14A03" w:rsidP="00AE2262">
            <w:pPr>
              <w:spacing w:after="200" w:line="276" w:lineRule="auto"/>
              <w:rPr>
                <w:rFonts w:ascii="Times New Roman" w:eastAsia="Times New Roman" w:hAnsi="Times New Roman" w:cs="Times New Roman"/>
                <w:color w:val="000000"/>
                <w:sz w:val="22"/>
                <w:szCs w:val="22"/>
                <w:shd w:val="clear" w:color="auto" w:fill="FFFFFF"/>
              </w:rPr>
            </w:pPr>
            <w:r w:rsidRPr="00062EAD">
              <w:rPr>
                <w:rFonts w:ascii="Times New Roman" w:eastAsia="Times New Roman" w:hAnsi="Times New Roman" w:cs="Times New Roman"/>
                <w:color w:val="000000"/>
                <w:sz w:val="22"/>
                <w:szCs w:val="22"/>
                <w:shd w:val="clear" w:color="auto" w:fill="FFFFFF"/>
              </w:rPr>
              <w:t>58</w:t>
            </w:r>
          </w:p>
        </w:tc>
        <w:tc>
          <w:tcPr>
            <w:tcW w:w="4500" w:type="dxa"/>
            <w:tcBorders>
              <w:top w:val="nil"/>
              <w:left w:val="nil"/>
              <w:bottom w:val="nil"/>
              <w:right w:val="nil"/>
            </w:tcBorders>
            <w:shd w:val="clear" w:color="auto" w:fill="auto"/>
            <w:noWrap/>
            <w:vAlign w:val="bottom"/>
            <w:hideMark/>
          </w:tcPr>
          <w:p w14:paraId="2E3CDE31" w14:textId="77777777" w:rsidR="00A14A03" w:rsidRPr="00062EAD" w:rsidRDefault="00A14A03" w:rsidP="00AE2262">
            <w:pPr>
              <w:spacing w:after="200" w:line="276" w:lineRule="auto"/>
              <w:rPr>
                <w:rFonts w:ascii="Times New Roman" w:eastAsia="Times New Roman" w:hAnsi="Times New Roman" w:cs="Times New Roman"/>
                <w:color w:val="000000"/>
                <w:sz w:val="22"/>
                <w:szCs w:val="22"/>
                <w:shd w:val="clear" w:color="auto" w:fill="FFFFFF"/>
              </w:rPr>
            </w:pPr>
            <w:r w:rsidRPr="00062EAD">
              <w:rPr>
                <w:rFonts w:ascii="Times New Roman" w:eastAsia="Times New Roman" w:hAnsi="Times New Roman" w:cs="Times New Roman"/>
                <w:color w:val="000000"/>
                <w:sz w:val="22"/>
                <w:szCs w:val="22"/>
                <w:shd w:val="clear" w:color="auto" w:fill="FFFFFF"/>
              </w:rPr>
              <w:t xml:space="preserve"> Eating &amp; Drinking Places</w:t>
            </w:r>
          </w:p>
        </w:tc>
        <w:tc>
          <w:tcPr>
            <w:tcW w:w="1165" w:type="dxa"/>
            <w:tcBorders>
              <w:top w:val="nil"/>
              <w:left w:val="nil"/>
              <w:bottom w:val="nil"/>
              <w:right w:val="nil"/>
            </w:tcBorders>
            <w:shd w:val="clear" w:color="auto" w:fill="auto"/>
            <w:noWrap/>
            <w:vAlign w:val="bottom"/>
            <w:hideMark/>
          </w:tcPr>
          <w:p w14:paraId="7024C20F" w14:textId="77777777" w:rsidR="00A14A03" w:rsidRPr="00062EAD" w:rsidRDefault="00A14A03" w:rsidP="00AE2262">
            <w:pPr>
              <w:spacing w:after="200" w:line="276" w:lineRule="auto"/>
              <w:rPr>
                <w:rFonts w:ascii="Times New Roman" w:eastAsia="Times New Roman" w:hAnsi="Times New Roman" w:cs="Times New Roman"/>
                <w:color w:val="000000"/>
                <w:sz w:val="22"/>
                <w:szCs w:val="22"/>
                <w:shd w:val="clear" w:color="auto" w:fill="FFFFFF"/>
              </w:rPr>
            </w:pPr>
            <w:r w:rsidRPr="00062EAD">
              <w:rPr>
                <w:rFonts w:ascii="Times New Roman" w:eastAsia="Times New Roman" w:hAnsi="Times New Roman" w:cs="Times New Roman"/>
                <w:color w:val="000000"/>
                <w:sz w:val="22"/>
                <w:szCs w:val="22"/>
                <w:shd w:val="clear" w:color="auto" w:fill="FFFFFF"/>
              </w:rPr>
              <w:t>1</w:t>
            </w:r>
          </w:p>
        </w:tc>
        <w:tc>
          <w:tcPr>
            <w:tcW w:w="1322" w:type="dxa"/>
            <w:tcBorders>
              <w:top w:val="nil"/>
              <w:left w:val="nil"/>
              <w:bottom w:val="nil"/>
              <w:right w:val="nil"/>
            </w:tcBorders>
            <w:shd w:val="clear" w:color="auto" w:fill="auto"/>
            <w:noWrap/>
            <w:vAlign w:val="bottom"/>
            <w:hideMark/>
          </w:tcPr>
          <w:p w14:paraId="4D35A57F" w14:textId="77777777" w:rsidR="00A14A03" w:rsidRPr="00062EAD" w:rsidRDefault="00A14A03" w:rsidP="00AE2262">
            <w:pPr>
              <w:spacing w:after="200" w:line="276" w:lineRule="auto"/>
              <w:rPr>
                <w:rFonts w:ascii="Times New Roman" w:eastAsia="Times New Roman" w:hAnsi="Times New Roman" w:cs="Times New Roman"/>
                <w:color w:val="000000"/>
                <w:sz w:val="22"/>
                <w:szCs w:val="22"/>
                <w:shd w:val="clear" w:color="auto" w:fill="FFFFFF"/>
              </w:rPr>
            </w:pPr>
            <w:r w:rsidRPr="00062EAD">
              <w:rPr>
                <w:rFonts w:ascii="Times New Roman" w:eastAsia="Times New Roman" w:hAnsi="Times New Roman" w:cs="Times New Roman"/>
                <w:color w:val="000000"/>
                <w:sz w:val="22"/>
                <w:szCs w:val="22"/>
                <w:shd w:val="clear" w:color="auto" w:fill="FFFFFF"/>
              </w:rPr>
              <w:t>30,000</w:t>
            </w:r>
          </w:p>
        </w:tc>
        <w:tc>
          <w:tcPr>
            <w:tcW w:w="1350" w:type="dxa"/>
            <w:tcBorders>
              <w:top w:val="nil"/>
              <w:left w:val="nil"/>
              <w:bottom w:val="nil"/>
              <w:right w:val="nil"/>
            </w:tcBorders>
            <w:shd w:val="clear" w:color="auto" w:fill="auto"/>
            <w:noWrap/>
            <w:vAlign w:val="bottom"/>
            <w:hideMark/>
          </w:tcPr>
          <w:p w14:paraId="1E1AD048" w14:textId="77777777" w:rsidR="00A14A03" w:rsidRPr="00062EAD" w:rsidRDefault="00A14A03" w:rsidP="00AE2262">
            <w:pPr>
              <w:spacing w:after="200" w:line="276" w:lineRule="auto"/>
              <w:rPr>
                <w:rFonts w:ascii="Times New Roman" w:eastAsia="Times New Roman" w:hAnsi="Times New Roman" w:cs="Times New Roman"/>
                <w:color w:val="000000"/>
                <w:sz w:val="22"/>
                <w:szCs w:val="22"/>
                <w:shd w:val="clear" w:color="auto" w:fill="FFFFFF"/>
              </w:rPr>
            </w:pPr>
            <w:r w:rsidRPr="00062EAD">
              <w:rPr>
                <w:rFonts w:ascii="Times New Roman" w:eastAsia="Times New Roman" w:hAnsi="Times New Roman" w:cs="Times New Roman"/>
                <w:color w:val="000000"/>
                <w:sz w:val="22"/>
                <w:szCs w:val="22"/>
                <w:shd w:val="clear" w:color="auto" w:fill="FFFFFF"/>
              </w:rPr>
              <w:t>30,000</w:t>
            </w:r>
          </w:p>
        </w:tc>
        <w:tc>
          <w:tcPr>
            <w:tcW w:w="810" w:type="dxa"/>
            <w:tcBorders>
              <w:top w:val="nil"/>
              <w:left w:val="nil"/>
              <w:bottom w:val="nil"/>
              <w:right w:val="nil"/>
            </w:tcBorders>
            <w:shd w:val="clear" w:color="auto" w:fill="auto"/>
            <w:noWrap/>
            <w:vAlign w:val="bottom"/>
            <w:hideMark/>
          </w:tcPr>
          <w:p w14:paraId="05B51727" w14:textId="77777777" w:rsidR="00A14A03" w:rsidRPr="00062EAD" w:rsidRDefault="00A14A03" w:rsidP="00AE2262">
            <w:pPr>
              <w:spacing w:after="200" w:line="276" w:lineRule="auto"/>
              <w:rPr>
                <w:rFonts w:ascii="Times New Roman" w:eastAsia="Times New Roman" w:hAnsi="Times New Roman" w:cs="Times New Roman"/>
                <w:color w:val="000000"/>
                <w:sz w:val="22"/>
                <w:szCs w:val="22"/>
                <w:shd w:val="clear" w:color="auto" w:fill="FFFFFF"/>
              </w:rPr>
            </w:pPr>
            <w:r w:rsidRPr="00062EAD">
              <w:rPr>
                <w:rFonts w:ascii="Times New Roman" w:eastAsia="Times New Roman" w:hAnsi="Times New Roman" w:cs="Times New Roman"/>
                <w:color w:val="000000"/>
                <w:sz w:val="22"/>
                <w:szCs w:val="22"/>
                <w:shd w:val="clear" w:color="auto" w:fill="FFFFFF"/>
              </w:rPr>
              <w:t>0.0</w:t>
            </w:r>
          </w:p>
        </w:tc>
        <w:tc>
          <w:tcPr>
            <w:tcW w:w="990" w:type="dxa"/>
            <w:tcBorders>
              <w:top w:val="nil"/>
              <w:left w:val="nil"/>
              <w:bottom w:val="nil"/>
              <w:right w:val="nil"/>
            </w:tcBorders>
            <w:shd w:val="clear" w:color="auto" w:fill="auto"/>
            <w:noWrap/>
            <w:vAlign w:val="bottom"/>
            <w:hideMark/>
          </w:tcPr>
          <w:p w14:paraId="0F45E11A" w14:textId="77777777" w:rsidR="00A14A03" w:rsidRPr="00062EAD" w:rsidRDefault="00A14A03" w:rsidP="00AE2262">
            <w:pPr>
              <w:spacing w:after="200" w:line="276" w:lineRule="auto"/>
              <w:rPr>
                <w:rFonts w:ascii="Times New Roman" w:eastAsia="Times New Roman" w:hAnsi="Times New Roman" w:cs="Times New Roman"/>
                <w:color w:val="000000"/>
                <w:sz w:val="22"/>
                <w:szCs w:val="22"/>
                <w:shd w:val="clear" w:color="auto" w:fill="FFFFFF"/>
              </w:rPr>
            </w:pPr>
            <w:r w:rsidRPr="00062EAD">
              <w:rPr>
                <w:rFonts w:ascii="Times New Roman" w:eastAsia="Times New Roman" w:hAnsi="Times New Roman" w:cs="Times New Roman"/>
                <w:color w:val="000000"/>
                <w:sz w:val="22"/>
                <w:szCs w:val="22"/>
                <w:shd w:val="clear" w:color="auto" w:fill="FFFFFF"/>
              </w:rPr>
              <w:t>0.0</w:t>
            </w:r>
          </w:p>
        </w:tc>
      </w:tr>
      <w:tr w:rsidR="00A14A03" w:rsidRPr="00062EAD" w14:paraId="687FD00F" w14:textId="77777777" w:rsidTr="00AE2262">
        <w:trPr>
          <w:trHeight w:val="300"/>
        </w:trPr>
        <w:tc>
          <w:tcPr>
            <w:tcW w:w="915" w:type="dxa"/>
            <w:tcBorders>
              <w:top w:val="nil"/>
              <w:left w:val="nil"/>
              <w:bottom w:val="nil"/>
              <w:right w:val="nil"/>
            </w:tcBorders>
            <w:shd w:val="clear" w:color="auto" w:fill="auto"/>
            <w:noWrap/>
            <w:vAlign w:val="bottom"/>
            <w:hideMark/>
          </w:tcPr>
          <w:p w14:paraId="5CBED984" w14:textId="77777777" w:rsidR="00A14A03" w:rsidRPr="00062EAD" w:rsidRDefault="00A14A03" w:rsidP="00AE2262">
            <w:pPr>
              <w:spacing w:after="200" w:line="276" w:lineRule="auto"/>
              <w:rPr>
                <w:rFonts w:ascii="Times New Roman" w:eastAsia="Times New Roman" w:hAnsi="Times New Roman" w:cs="Times New Roman"/>
                <w:color w:val="000000"/>
                <w:sz w:val="22"/>
                <w:szCs w:val="22"/>
                <w:shd w:val="clear" w:color="auto" w:fill="FFFFFF"/>
              </w:rPr>
            </w:pPr>
            <w:r w:rsidRPr="00062EAD">
              <w:rPr>
                <w:rFonts w:ascii="Times New Roman" w:eastAsia="Times New Roman" w:hAnsi="Times New Roman" w:cs="Times New Roman"/>
                <w:color w:val="000000"/>
                <w:sz w:val="22"/>
                <w:szCs w:val="22"/>
                <w:shd w:val="clear" w:color="auto" w:fill="FFFFFF"/>
              </w:rPr>
              <w:t>50</w:t>
            </w:r>
          </w:p>
        </w:tc>
        <w:tc>
          <w:tcPr>
            <w:tcW w:w="4500" w:type="dxa"/>
            <w:tcBorders>
              <w:top w:val="nil"/>
              <w:left w:val="nil"/>
              <w:bottom w:val="nil"/>
              <w:right w:val="nil"/>
            </w:tcBorders>
            <w:shd w:val="clear" w:color="auto" w:fill="auto"/>
            <w:noWrap/>
            <w:vAlign w:val="bottom"/>
            <w:hideMark/>
          </w:tcPr>
          <w:p w14:paraId="20AB75D2" w14:textId="77777777" w:rsidR="00A14A03" w:rsidRPr="00062EAD" w:rsidRDefault="00A14A03" w:rsidP="00AE2262">
            <w:pPr>
              <w:spacing w:after="200" w:line="276" w:lineRule="auto"/>
              <w:rPr>
                <w:rFonts w:ascii="Times New Roman" w:eastAsia="Times New Roman" w:hAnsi="Times New Roman" w:cs="Times New Roman"/>
                <w:color w:val="000000"/>
                <w:sz w:val="22"/>
                <w:szCs w:val="22"/>
                <w:shd w:val="clear" w:color="auto" w:fill="FFFFFF"/>
              </w:rPr>
            </w:pPr>
            <w:r w:rsidRPr="00062EAD">
              <w:rPr>
                <w:rFonts w:ascii="Times New Roman" w:eastAsia="Times New Roman" w:hAnsi="Times New Roman" w:cs="Times New Roman"/>
                <w:color w:val="000000"/>
                <w:sz w:val="22"/>
                <w:szCs w:val="22"/>
                <w:shd w:val="clear" w:color="auto" w:fill="FFFFFF"/>
              </w:rPr>
              <w:t>Wholesale Trade – Durable Goods</w:t>
            </w:r>
          </w:p>
        </w:tc>
        <w:tc>
          <w:tcPr>
            <w:tcW w:w="1165" w:type="dxa"/>
            <w:tcBorders>
              <w:top w:val="nil"/>
              <w:left w:val="nil"/>
              <w:bottom w:val="nil"/>
              <w:right w:val="nil"/>
            </w:tcBorders>
            <w:shd w:val="clear" w:color="auto" w:fill="auto"/>
            <w:noWrap/>
            <w:vAlign w:val="bottom"/>
            <w:hideMark/>
          </w:tcPr>
          <w:p w14:paraId="6CD3BD19" w14:textId="77777777" w:rsidR="00A14A03" w:rsidRPr="00062EAD" w:rsidRDefault="00A14A03" w:rsidP="00AE2262">
            <w:pPr>
              <w:spacing w:after="200" w:line="276" w:lineRule="auto"/>
              <w:rPr>
                <w:rFonts w:ascii="Times New Roman" w:eastAsia="Times New Roman" w:hAnsi="Times New Roman" w:cs="Times New Roman"/>
                <w:color w:val="000000"/>
                <w:sz w:val="22"/>
                <w:szCs w:val="22"/>
                <w:shd w:val="clear" w:color="auto" w:fill="FFFFFF"/>
              </w:rPr>
            </w:pPr>
            <w:r w:rsidRPr="00062EAD">
              <w:rPr>
                <w:rFonts w:ascii="Times New Roman" w:eastAsia="Times New Roman" w:hAnsi="Times New Roman" w:cs="Times New Roman"/>
                <w:color w:val="000000"/>
                <w:sz w:val="22"/>
                <w:szCs w:val="22"/>
                <w:shd w:val="clear" w:color="auto" w:fill="FFFFFF"/>
              </w:rPr>
              <w:t>1</w:t>
            </w:r>
          </w:p>
        </w:tc>
        <w:tc>
          <w:tcPr>
            <w:tcW w:w="1322" w:type="dxa"/>
            <w:tcBorders>
              <w:top w:val="nil"/>
              <w:left w:val="nil"/>
              <w:bottom w:val="nil"/>
              <w:right w:val="nil"/>
            </w:tcBorders>
            <w:shd w:val="clear" w:color="auto" w:fill="auto"/>
            <w:noWrap/>
            <w:vAlign w:val="bottom"/>
            <w:hideMark/>
          </w:tcPr>
          <w:p w14:paraId="120A50AF" w14:textId="77777777" w:rsidR="00A14A03" w:rsidRPr="00062EAD" w:rsidRDefault="00A14A03" w:rsidP="00AE2262">
            <w:pPr>
              <w:spacing w:after="200" w:line="276" w:lineRule="auto"/>
              <w:rPr>
                <w:rFonts w:ascii="Times New Roman" w:eastAsia="Times New Roman" w:hAnsi="Times New Roman" w:cs="Times New Roman"/>
                <w:color w:val="000000"/>
                <w:sz w:val="22"/>
                <w:szCs w:val="22"/>
                <w:shd w:val="clear" w:color="auto" w:fill="FFFFFF"/>
              </w:rPr>
            </w:pPr>
            <w:r w:rsidRPr="00062EAD">
              <w:rPr>
                <w:rFonts w:ascii="Times New Roman" w:eastAsia="Times New Roman" w:hAnsi="Times New Roman" w:cs="Times New Roman"/>
                <w:color w:val="000000"/>
                <w:sz w:val="22"/>
                <w:szCs w:val="22"/>
                <w:shd w:val="clear" w:color="auto" w:fill="FFFFFF"/>
              </w:rPr>
              <w:t>20,000</w:t>
            </w:r>
          </w:p>
        </w:tc>
        <w:tc>
          <w:tcPr>
            <w:tcW w:w="1350" w:type="dxa"/>
            <w:tcBorders>
              <w:top w:val="nil"/>
              <w:left w:val="nil"/>
              <w:bottom w:val="nil"/>
              <w:right w:val="nil"/>
            </w:tcBorders>
            <w:shd w:val="clear" w:color="auto" w:fill="auto"/>
            <w:noWrap/>
            <w:vAlign w:val="bottom"/>
            <w:hideMark/>
          </w:tcPr>
          <w:p w14:paraId="30C612EE" w14:textId="77777777" w:rsidR="00A14A03" w:rsidRPr="00062EAD" w:rsidRDefault="00A14A03" w:rsidP="00AE2262">
            <w:pPr>
              <w:spacing w:after="200" w:line="276" w:lineRule="auto"/>
              <w:rPr>
                <w:rFonts w:ascii="Times New Roman" w:eastAsia="Times New Roman" w:hAnsi="Times New Roman" w:cs="Times New Roman"/>
                <w:color w:val="000000"/>
                <w:sz w:val="22"/>
                <w:szCs w:val="22"/>
                <w:shd w:val="clear" w:color="auto" w:fill="FFFFFF"/>
              </w:rPr>
            </w:pPr>
            <w:r w:rsidRPr="00062EAD">
              <w:rPr>
                <w:rFonts w:ascii="Times New Roman" w:eastAsia="Times New Roman" w:hAnsi="Times New Roman" w:cs="Times New Roman"/>
                <w:color w:val="000000"/>
                <w:sz w:val="22"/>
                <w:szCs w:val="22"/>
                <w:shd w:val="clear" w:color="auto" w:fill="FFFFFF"/>
              </w:rPr>
              <w:t>20,000</w:t>
            </w:r>
          </w:p>
        </w:tc>
        <w:tc>
          <w:tcPr>
            <w:tcW w:w="810" w:type="dxa"/>
            <w:tcBorders>
              <w:top w:val="nil"/>
              <w:left w:val="nil"/>
              <w:bottom w:val="nil"/>
              <w:right w:val="nil"/>
            </w:tcBorders>
            <w:shd w:val="clear" w:color="auto" w:fill="auto"/>
            <w:noWrap/>
            <w:vAlign w:val="bottom"/>
            <w:hideMark/>
          </w:tcPr>
          <w:p w14:paraId="39D107A2" w14:textId="77777777" w:rsidR="00A14A03" w:rsidRPr="00062EAD" w:rsidRDefault="00A14A03" w:rsidP="00AE2262">
            <w:pPr>
              <w:spacing w:after="200" w:line="276" w:lineRule="auto"/>
              <w:rPr>
                <w:rFonts w:ascii="Times New Roman" w:eastAsia="Times New Roman" w:hAnsi="Times New Roman" w:cs="Times New Roman"/>
                <w:color w:val="000000"/>
                <w:sz w:val="22"/>
                <w:szCs w:val="22"/>
                <w:shd w:val="clear" w:color="auto" w:fill="FFFFFF"/>
              </w:rPr>
            </w:pPr>
            <w:r w:rsidRPr="00062EAD">
              <w:rPr>
                <w:rFonts w:ascii="Times New Roman" w:eastAsia="Times New Roman" w:hAnsi="Times New Roman" w:cs="Times New Roman"/>
                <w:color w:val="000000"/>
                <w:sz w:val="22"/>
                <w:szCs w:val="22"/>
                <w:shd w:val="clear" w:color="auto" w:fill="FFFFFF"/>
              </w:rPr>
              <w:t>0.0</w:t>
            </w:r>
          </w:p>
        </w:tc>
        <w:tc>
          <w:tcPr>
            <w:tcW w:w="990" w:type="dxa"/>
            <w:tcBorders>
              <w:top w:val="nil"/>
              <w:left w:val="nil"/>
              <w:bottom w:val="nil"/>
              <w:right w:val="nil"/>
            </w:tcBorders>
            <w:shd w:val="clear" w:color="auto" w:fill="auto"/>
            <w:noWrap/>
            <w:vAlign w:val="bottom"/>
            <w:hideMark/>
          </w:tcPr>
          <w:p w14:paraId="231E9D28" w14:textId="77777777" w:rsidR="00A14A03" w:rsidRPr="00062EAD" w:rsidRDefault="00A14A03" w:rsidP="00AE2262">
            <w:pPr>
              <w:spacing w:after="200" w:line="276" w:lineRule="auto"/>
              <w:rPr>
                <w:rFonts w:ascii="Times New Roman" w:eastAsia="Times New Roman" w:hAnsi="Times New Roman" w:cs="Times New Roman"/>
                <w:color w:val="000000"/>
                <w:sz w:val="22"/>
                <w:szCs w:val="22"/>
                <w:shd w:val="clear" w:color="auto" w:fill="FFFFFF"/>
              </w:rPr>
            </w:pPr>
            <w:r w:rsidRPr="00062EAD">
              <w:rPr>
                <w:rFonts w:ascii="Times New Roman" w:eastAsia="Times New Roman" w:hAnsi="Times New Roman" w:cs="Times New Roman"/>
                <w:color w:val="000000"/>
                <w:sz w:val="22"/>
                <w:szCs w:val="22"/>
                <w:shd w:val="clear" w:color="auto" w:fill="FFFFFF"/>
              </w:rPr>
              <w:t>0.0</w:t>
            </w:r>
          </w:p>
        </w:tc>
      </w:tr>
      <w:tr w:rsidR="00A14A03" w:rsidRPr="00062EAD" w14:paraId="6BD90D9D" w14:textId="77777777" w:rsidTr="00AE2262">
        <w:trPr>
          <w:trHeight w:val="300"/>
        </w:trPr>
        <w:tc>
          <w:tcPr>
            <w:tcW w:w="915" w:type="dxa"/>
            <w:tcBorders>
              <w:top w:val="nil"/>
              <w:left w:val="nil"/>
              <w:bottom w:val="single" w:sz="4" w:space="0" w:color="auto"/>
              <w:right w:val="nil"/>
            </w:tcBorders>
            <w:shd w:val="clear" w:color="auto" w:fill="auto"/>
            <w:noWrap/>
            <w:vAlign w:val="bottom"/>
            <w:hideMark/>
          </w:tcPr>
          <w:p w14:paraId="0A5DC910" w14:textId="77777777" w:rsidR="00A14A03" w:rsidRPr="00062EAD" w:rsidRDefault="00A14A03" w:rsidP="00AE2262">
            <w:pPr>
              <w:spacing w:after="200" w:line="276" w:lineRule="auto"/>
              <w:rPr>
                <w:rFonts w:ascii="Times New Roman" w:eastAsia="Times New Roman" w:hAnsi="Times New Roman" w:cs="Times New Roman"/>
                <w:color w:val="000000"/>
                <w:sz w:val="22"/>
                <w:szCs w:val="22"/>
                <w:shd w:val="clear" w:color="auto" w:fill="FFFFFF"/>
              </w:rPr>
            </w:pPr>
            <w:r w:rsidRPr="00062EAD">
              <w:rPr>
                <w:rFonts w:ascii="Times New Roman" w:eastAsia="Times New Roman" w:hAnsi="Times New Roman" w:cs="Times New Roman"/>
                <w:color w:val="000000"/>
                <w:sz w:val="22"/>
                <w:szCs w:val="22"/>
                <w:shd w:val="clear" w:color="auto" w:fill="FFFFFF"/>
              </w:rPr>
              <w:t>27</w:t>
            </w:r>
          </w:p>
        </w:tc>
        <w:tc>
          <w:tcPr>
            <w:tcW w:w="4500" w:type="dxa"/>
            <w:tcBorders>
              <w:top w:val="nil"/>
              <w:left w:val="nil"/>
              <w:bottom w:val="single" w:sz="4" w:space="0" w:color="auto"/>
              <w:right w:val="nil"/>
            </w:tcBorders>
            <w:shd w:val="clear" w:color="auto" w:fill="auto"/>
            <w:noWrap/>
            <w:vAlign w:val="bottom"/>
            <w:hideMark/>
          </w:tcPr>
          <w:p w14:paraId="4AF716B8" w14:textId="77777777" w:rsidR="00A14A03" w:rsidRPr="00062EAD" w:rsidRDefault="00A14A03" w:rsidP="00AE2262">
            <w:pPr>
              <w:spacing w:after="200" w:line="276" w:lineRule="auto"/>
              <w:rPr>
                <w:rFonts w:ascii="Times New Roman" w:eastAsia="Times New Roman" w:hAnsi="Times New Roman" w:cs="Times New Roman"/>
                <w:color w:val="000000"/>
                <w:sz w:val="22"/>
                <w:szCs w:val="22"/>
                <w:shd w:val="clear" w:color="auto" w:fill="FFFFFF"/>
              </w:rPr>
            </w:pPr>
            <w:r w:rsidRPr="00062EAD">
              <w:rPr>
                <w:rFonts w:ascii="Times New Roman" w:eastAsia="Times New Roman" w:hAnsi="Times New Roman" w:cs="Times New Roman"/>
                <w:color w:val="000000"/>
                <w:sz w:val="22"/>
                <w:szCs w:val="22"/>
                <w:shd w:val="clear" w:color="auto" w:fill="FFFFFF"/>
              </w:rPr>
              <w:t>Printing &amp; Publishing</w:t>
            </w:r>
          </w:p>
        </w:tc>
        <w:tc>
          <w:tcPr>
            <w:tcW w:w="1165" w:type="dxa"/>
            <w:tcBorders>
              <w:top w:val="nil"/>
              <w:left w:val="nil"/>
              <w:bottom w:val="single" w:sz="4" w:space="0" w:color="auto"/>
              <w:right w:val="nil"/>
            </w:tcBorders>
            <w:shd w:val="clear" w:color="auto" w:fill="auto"/>
            <w:noWrap/>
            <w:vAlign w:val="bottom"/>
            <w:hideMark/>
          </w:tcPr>
          <w:p w14:paraId="042F7B9F" w14:textId="77777777" w:rsidR="00A14A03" w:rsidRPr="00062EAD" w:rsidRDefault="00A14A03" w:rsidP="00AE2262">
            <w:pPr>
              <w:spacing w:after="200" w:line="276" w:lineRule="auto"/>
              <w:rPr>
                <w:rFonts w:ascii="Times New Roman" w:eastAsia="Times New Roman" w:hAnsi="Times New Roman" w:cs="Times New Roman"/>
                <w:color w:val="000000"/>
                <w:sz w:val="22"/>
                <w:szCs w:val="22"/>
                <w:shd w:val="clear" w:color="auto" w:fill="FFFFFF"/>
              </w:rPr>
            </w:pPr>
            <w:r w:rsidRPr="00062EAD">
              <w:rPr>
                <w:rFonts w:ascii="Times New Roman" w:eastAsia="Times New Roman" w:hAnsi="Times New Roman" w:cs="Times New Roman"/>
                <w:color w:val="000000"/>
                <w:sz w:val="22"/>
                <w:szCs w:val="22"/>
                <w:shd w:val="clear" w:color="auto" w:fill="FFFFFF"/>
              </w:rPr>
              <w:t>1</w:t>
            </w:r>
          </w:p>
        </w:tc>
        <w:tc>
          <w:tcPr>
            <w:tcW w:w="1322" w:type="dxa"/>
            <w:tcBorders>
              <w:top w:val="nil"/>
              <w:left w:val="nil"/>
              <w:bottom w:val="single" w:sz="4" w:space="0" w:color="auto"/>
              <w:right w:val="nil"/>
            </w:tcBorders>
            <w:shd w:val="clear" w:color="auto" w:fill="auto"/>
            <w:noWrap/>
            <w:vAlign w:val="bottom"/>
            <w:hideMark/>
          </w:tcPr>
          <w:p w14:paraId="2CA63005" w14:textId="77777777" w:rsidR="00A14A03" w:rsidRPr="00062EAD" w:rsidRDefault="00A14A03" w:rsidP="00AE2262">
            <w:pPr>
              <w:spacing w:after="200" w:line="276" w:lineRule="auto"/>
              <w:rPr>
                <w:rFonts w:ascii="Times New Roman" w:eastAsia="Times New Roman" w:hAnsi="Times New Roman" w:cs="Times New Roman"/>
                <w:color w:val="000000"/>
                <w:sz w:val="22"/>
                <w:szCs w:val="22"/>
                <w:shd w:val="clear" w:color="auto" w:fill="FFFFFF"/>
              </w:rPr>
            </w:pPr>
            <w:r w:rsidRPr="00062EAD">
              <w:rPr>
                <w:rFonts w:ascii="Times New Roman" w:eastAsia="Times New Roman" w:hAnsi="Times New Roman" w:cs="Times New Roman"/>
                <w:color w:val="000000"/>
                <w:sz w:val="22"/>
                <w:szCs w:val="22"/>
                <w:shd w:val="clear" w:color="auto" w:fill="FFFFFF"/>
              </w:rPr>
              <w:t>10,000</w:t>
            </w:r>
          </w:p>
        </w:tc>
        <w:tc>
          <w:tcPr>
            <w:tcW w:w="1350" w:type="dxa"/>
            <w:tcBorders>
              <w:top w:val="nil"/>
              <w:left w:val="nil"/>
              <w:bottom w:val="single" w:sz="4" w:space="0" w:color="auto"/>
              <w:right w:val="nil"/>
            </w:tcBorders>
            <w:shd w:val="clear" w:color="auto" w:fill="auto"/>
            <w:noWrap/>
            <w:vAlign w:val="bottom"/>
            <w:hideMark/>
          </w:tcPr>
          <w:p w14:paraId="7E8CFE90" w14:textId="77777777" w:rsidR="00A14A03" w:rsidRPr="00062EAD" w:rsidRDefault="00A14A03" w:rsidP="00AE2262">
            <w:pPr>
              <w:spacing w:after="200" w:line="276" w:lineRule="auto"/>
              <w:rPr>
                <w:rFonts w:ascii="Times New Roman" w:eastAsia="Times New Roman" w:hAnsi="Times New Roman" w:cs="Times New Roman"/>
                <w:color w:val="000000"/>
                <w:sz w:val="22"/>
                <w:szCs w:val="22"/>
                <w:shd w:val="clear" w:color="auto" w:fill="FFFFFF"/>
              </w:rPr>
            </w:pPr>
            <w:r w:rsidRPr="00062EAD">
              <w:rPr>
                <w:rFonts w:ascii="Times New Roman" w:eastAsia="Times New Roman" w:hAnsi="Times New Roman" w:cs="Times New Roman"/>
                <w:color w:val="000000"/>
                <w:sz w:val="22"/>
                <w:szCs w:val="22"/>
                <w:shd w:val="clear" w:color="auto" w:fill="FFFFFF"/>
              </w:rPr>
              <w:t>10,000</w:t>
            </w:r>
          </w:p>
        </w:tc>
        <w:tc>
          <w:tcPr>
            <w:tcW w:w="810" w:type="dxa"/>
            <w:tcBorders>
              <w:top w:val="nil"/>
              <w:left w:val="nil"/>
              <w:bottom w:val="single" w:sz="4" w:space="0" w:color="auto"/>
              <w:right w:val="nil"/>
            </w:tcBorders>
            <w:shd w:val="clear" w:color="auto" w:fill="auto"/>
            <w:noWrap/>
            <w:vAlign w:val="bottom"/>
            <w:hideMark/>
          </w:tcPr>
          <w:p w14:paraId="020ED6D9" w14:textId="77777777" w:rsidR="00A14A03" w:rsidRPr="00062EAD" w:rsidRDefault="00A14A03" w:rsidP="00AE2262">
            <w:pPr>
              <w:spacing w:after="200" w:line="276" w:lineRule="auto"/>
              <w:rPr>
                <w:rFonts w:ascii="Times New Roman" w:eastAsia="Times New Roman" w:hAnsi="Times New Roman" w:cs="Times New Roman"/>
                <w:color w:val="000000"/>
                <w:sz w:val="22"/>
                <w:szCs w:val="22"/>
                <w:shd w:val="clear" w:color="auto" w:fill="FFFFFF"/>
              </w:rPr>
            </w:pPr>
            <w:r w:rsidRPr="00062EAD">
              <w:rPr>
                <w:rFonts w:ascii="Times New Roman" w:eastAsia="Times New Roman" w:hAnsi="Times New Roman" w:cs="Times New Roman"/>
                <w:color w:val="000000"/>
                <w:sz w:val="22"/>
                <w:szCs w:val="22"/>
                <w:shd w:val="clear" w:color="auto" w:fill="FFFFFF"/>
              </w:rPr>
              <w:t>5.6</w:t>
            </w:r>
          </w:p>
        </w:tc>
        <w:tc>
          <w:tcPr>
            <w:tcW w:w="990" w:type="dxa"/>
            <w:tcBorders>
              <w:top w:val="nil"/>
              <w:left w:val="nil"/>
              <w:bottom w:val="single" w:sz="4" w:space="0" w:color="auto"/>
              <w:right w:val="nil"/>
            </w:tcBorders>
            <w:shd w:val="clear" w:color="auto" w:fill="auto"/>
            <w:noWrap/>
            <w:vAlign w:val="bottom"/>
            <w:hideMark/>
          </w:tcPr>
          <w:p w14:paraId="0E54F21D" w14:textId="77777777" w:rsidR="00A14A03" w:rsidRPr="00062EAD" w:rsidRDefault="00A14A03" w:rsidP="00AE2262">
            <w:pPr>
              <w:spacing w:after="200" w:line="276" w:lineRule="auto"/>
              <w:rPr>
                <w:rFonts w:ascii="Times New Roman" w:eastAsia="Times New Roman" w:hAnsi="Times New Roman" w:cs="Times New Roman"/>
                <w:color w:val="000000"/>
                <w:sz w:val="22"/>
                <w:szCs w:val="22"/>
                <w:shd w:val="clear" w:color="auto" w:fill="FFFFFF"/>
              </w:rPr>
            </w:pPr>
            <w:r w:rsidRPr="00062EAD">
              <w:rPr>
                <w:rFonts w:ascii="Times New Roman" w:eastAsia="Times New Roman" w:hAnsi="Times New Roman" w:cs="Times New Roman"/>
                <w:color w:val="000000"/>
                <w:sz w:val="22"/>
                <w:szCs w:val="22"/>
                <w:shd w:val="clear" w:color="auto" w:fill="FFFFFF"/>
              </w:rPr>
              <w:t>5.6</w:t>
            </w:r>
          </w:p>
        </w:tc>
      </w:tr>
    </w:tbl>
    <w:p w14:paraId="00EC3108" w14:textId="77777777" w:rsidR="00A14A03" w:rsidRPr="00062EAD" w:rsidRDefault="00A14A03" w:rsidP="00A14A03">
      <w:pPr>
        <w:spacing w:after="200" w:line="276" w:lineRule="auto"/>
        <w:rPr>
          <w:rFonts w:ascii="Times New Roman" w:eastAsia="Times New Roman" w:hAnsi="Times New Roman" w:cs="Times New Roman"/>
          <w:color w:val="000000"/>
          <w:sz w:val="22"/>
          <w:szCs w:val="22"/>
          <w:shd w:val="clear" w:color="auto" w:fill="FFFFFF"/>
        </w:rPr>
      </w:pPr>
    </w:p>
    <w:p w14:paraId="0021B017" w14:textId="77777777" w:rsidR="00A14A03" w:rsidRPr="00062EAD" w:rsidRDefault="00A14A03" w:rsidP="00A14A03">
      <w:pPr>
        <w:spacing w:after="200" w:line="276" w:lineRule="auto"/>
        <w:rPr>
          <w:rFonts w:ascii="Times New Roman" w:eastAsia="Times New Roman" w:hAnsi="Times New Roman" w:cs="Times New Roman"/>
          <w:color w:val="000000"/>
          <w:sz w:val="22"/>
          <w:szCs w:val="22"/>
          <w:shd w:val="clear" w:color="auto" w:fill="FFFFFF"/>
        </w:rPr>
      </w:pPr>
    </w:p>
    <w:p w14:paraId="276D0DF7" w14:textId="77777777" w:rsidR="00A14A03" w:rsidRDefault="00A14A03" w:rsidP="00A14A03">
      <w:pPr>
        <w:rPr>
          <w:rFonts w:ascii="Times New Roman" w:eastAsia="Calibri" w:hAnsi="Times New Roman" w:cs="Times New Roman"/>
          <w:b/>
        </w:rPr>
      </w:pPr>
      <w:r>
        <w:rPr>
          <w:rFonts w:ascii="Times New Roman" w:eastAsia="Calibri" w:hAnsi="Times New Roman" w:cs="Times New Roman"/>
          <w:b/>
        </w:rPr>
        <w:br w:type="page"/>
      </w:r>
    </w:p>
    <w:p w14:paraId="1DBD9722" w14:textId="77777777" w:rsidR="00A14A03" w:rsidRPr="0019575B" w:rsidRDefault="00A14A03" w:rsidP="00A14A03">
      <w:pPr>
        <w:spacing w:line="276" w:lineRule="auto"/>
        <w:rPr>
          <w:rFonts w:ascii="Times New Roman" w:eastAsia="Calibri" w:hAnsi="Times New Roman" w:cs="Times New Roman"/>
          <w:b/>
        </w:rPr>
      </w:pPr>
      <w:r>
        <w:rPr>
          <w:rFonts w:ascii="Times New Roman" w:eastAsia="Calibri" w:hAnsi="Times New Roman" w:cs="Times New Roman"/>
          <w:b/>
        </w:rPr>
        <w:lastRenderedPageBreak/>
        <w:t>Table 3</w:t>
      </w:r>
    </w:p>
    <w:p w14:paraId="0D5BABA0" w14:textId="77777777" w:rsidR="00A14A03" w:rsidRPr="0019575B" w:rsidRDefault="00A14A03" w:rsidP="00A14A03">
      <w:pPr>
        <w:spacing w:line="276" w:lineRule="auto"/>
        <w:rPr>
          <w:rFonts w:ascii="Times New Roman" w:eastAsia="Calibri" w:hAnsi="Times New Roman" w:cs="Times New Roman"/>
          <w:b/>
        </w:rPr>
      </w:pPr>
      <w:r w:rsidRPr="0019575B">
        <w:rPr>
          <w:rFonts w:ascii="Times New Roman" w:eastAsia="Calibri" w:hAnsi="Times New Roman" w:cs="Times New Roman"/>
          <w:b/>
        </w:rPr>
        <w:t>Correlation Table</w:t>
      </w:r>
    </w:p>
    <w:p w14:paraId="10D3DC6A" w14:textId="77777777" w:rsidR="00A14A03" w:rsidRPr="0019575B" w:rsidRDefault="00A14A03" w:rsidP="00A14A03">
      <w:pPr>
        <w:spacing w:line="276" w:lineRule="auto"/>
        <w:rPr>
          <w:rFonts w:ascii="Times New Roman" w:eastAsia="Calibri" w:hAnsi="Times New Roman" w:cs="Times New Roman"/>
          <w:b/>
        </w:rPr>
      </w:pPr>
    </w:p>
    <w:p w14:paraId="2ABB8655" w14:textId="77777777" w:rsidR="00A14A03" w:rsidRPr="0019575B" w:rsidRDefault="00A14A03" w:rsidP="00A14A03">
      <w:pPr>
        <w:spacing w:after="200" w:line="276" w:lineRule="auto"/>
        <w:rPr>
          <w:rFonts w:ascii="Times New Roman" w:eastAsia="Calibri" w:hAnsi="Times New Roman" w:cs="Times New Roman"/>
          <w:b/>
          <w:sz w:val="22"/>
          <w:szCs w:val="22"/>
        </w:rPr>
      </w:pPr>
      <w:r w:rsidRPr="0019575B">
        <w:rPr>
          <w:rFonts w:ascii="Times New Roman" w:eastAsia="Times New Roman" w:hAnsi="Times New Roman" w:cs="Times New Roman"/>
          <w:color w:val="000000"/>
          <w:sz w:val="22"/>
          <w:szCs w:val="22"/>
          <w:shd w:val="clear" w:color="auto" w:fill="FFFFFF"/>
        </w:rPr>
        <w:t>The matrix below presents the pairwise correlation coefficients for the pairs that have 10% or more statistically significant correlation.</w:t>
      </w:r>
    </w:p>
    <w:tbl>
      <w:tblPr>
        <w:tblW w:w="9915" w:type="dxa"/>
        <w:tblInd w:w="108" w:type="dxa"/>
        <w:tblLayout w:type="fixed"/>
        <w:tblLook w:val="04A0" w:firstRow="1" w:lastRow="0" w:firstColumn="1" w:lastColumn="0" w:noHBand="0" w:noVBand="1"/>
      </w:tblPr>
      <w:tblGrid>
        <w:gridCol w:w="461"/>
        <w:gridCol w:w="2794"/>
        <w:gridCol w:w="732"/>
        <w:gridCol w:w="742"/>
        <w:gridCol w:w="742"/>
        <w:gridCol w:w="654"/>
        <w:gridCol w:w="825"/>
        <w:gridCol w:w="742"/>
        <w:gridCol w:w="682"/>
        <w:gridCol w:w="799"/>
        <w:gridCol w:w="742"/>
      </w:tblGrid>
      <w:tr w:rsidR="00A14A03" w:rsidRPr="0019575B" w14:paraId="709C94B2" w14:textId="77777777" w:rsidTr="00AE2262">
        <w:trPr>
          <w:trHeight w:val="341"/>
        </w:trPr>
        <w:tc>
          <w:tcPr>
            <w:tcW w:w="233" w:type="pct"/>
            <w:tcBorders>
              <w:top w:val="double" w:sz="4" w:space="0" w:color="auto"/>
            </w:tcBorders>
          </w:tcPr>
          <w:p w14:paraId="771D2AB7" w14:textId="77777777" w:rsidR="00A14A03" w:rsidRPr="0019575B" w:rsidRDefault="00A14A03" w:rsidP="00AE2262">
            <w:pPr>
              <w:rPr>
                <w:rFonts w:ascii="Times New Roman" w:eastAsia="Times New Roman" w:hAnsi="Times New Roman" w:cs="Times New Roman"/>
                <w:color w:val="000000"/>
                <w:sz w:val="20"/>
                <w:szCs w:val="20"/>
              </w:rPr>
            </w:pPr>
          </w:p>
        </w:tc>
        <w:tc>
          <w:tcPr>
            <w:tcW w:w="1409" w:type="pct"/>
            <w:tcBorders>
              <w:top w:val="double" w:sz="4" w:space="0" w:color="auto"/>
            </w:tcBorders>
            <w:shd w:val="clear" w:color="auto" w:fill="auto"/>
            <w:noWrap/>
            <w:vAlign w:val="bottom"/>
            <w:hideMark/>
          </w:tcPr>
          <w:p w14:paraId="34FCA565" w14:textId="77777777" w:rsidR="00A14A03" w:rsidRPr="0019575B" w:rsidRDefault="00A14A03" w:rsidP="00AE2262">
            <w:pPr>
              <w:rPr>
                <w:rFonts w:ascii="Times New Roman" w:eastAsia="Times New Roman" w:hAnsi="Times New Roman" w:cs="Times New Roman"/>
                <w:color w:val="000000"/>
                <w:sz w:val="20"/>
                <w:szCs w:val="20"/>
              </w:rPr>
            </w:pPr>
          </w:p>
        </w:tc>
        <w:tc>
          <w:tcPr>
            <w:tcW w:w="369" w:type="pct"/>
            <w:tcBorders>
              <w:top w:val="double" w:sz="4" w:space="0" w:color="auto"/>
            </w:tcBorders>
            <w:shd w:val="clear" w:color="auto" w:fill="auto"/>
            <w:noWrap/>
            <w:vAlign w:val="bottom"/>
            <w:hideMark/>
          </w:tcPr>
          <w:p w14:paraId="5B61D15B" w14:textId="77777777" w:rsidR="00A14A03" w:rsidRPr="0019575B" w:rsidRDefault="00A14A03" w:rsidP="00AE2262">
            <w:pPr>
              <w:jc w:val="center"/>
              <w:rPr>
                <w:rFonts w:ascii="Times New Roman" w:eastAsia="Times New Roman" w:hAnsi="Times New Roman" w:cs="Times New Roman"/>
                <w:color w:val="000000"/>
                <w:sz w:val="20"/>
                <w:szCs w:val="20"/>
              </w:rPr>
            </w:pPr>
            <w:r w:rsidRPr="0019575B">
              <w:rPr>
                <w:rFonts w:ascii="Times New Roman" w:eastAsia="Times New Roman" w:hAnsi="Times New Roman" w:cs="Times New Roman"/>
                <w:color w:val="000000"/>
                <w:sz w:val="20"/>
                <w:szCs w:val="20"/>
              </w:rPr>
              <w:t>1</w:t>
            </w:r>
          </w:p>
        </w:tc>
        <w:tc>
          <w:tcPr>
            <w:tcW w:w="374" w:type="pct"/>
            <w:tcBorders>
              <w:top w:val="double" w:sz="4" w:space="0" w:color="auto"/>
            </w:tcBorders>
            <w:shd w:val="clear" w:color="auto" w:fill="auto"/>
            <w:noWrap/>
            <w:vAlign w:val="bottom"/>
            <w:hideMark/>
          </w:tcPr>
          <w:p w14:paraId="52A97CB4" w14:textId="77777777" w:rsidR="00A14A03" w:rsidRPr="0019575B" w:rsidRDefault="00A14A03" w:rsidP="00AE2262">
            <w:pPr>
              <w:jc w:val="center"/>
              <w:rPr>
                <w:rFonts w:ascii="Times New Roman" w:eastAsia="Times New Roman" w:hAnsi="Times New Roman" w:cs="Times New Roman"/>
                <w:color w:val="000000"/>
                <w:sz w:val="20"/>
                <w:szCs w:val="20"/>
              </w:rPr>
            </w:pPr>
            <w:r w:rsidRPr="0019575B">
              <w:rPr>
                <w:rFonts w:ascii="Times New Roman" w:eastAsia="Times New Roman" w:hAnsi="Times New Roman" w:cs="Times New Roman"/>
                <w:color w:val="000000"/>
                <w:sz w:val="20"/>
                <w:szCs w:val="20"/>
              </w:rPr>
              <w:t>2</w:t>
            </w:r>
          </w:p>
        </w:tc>
        <w:tc>
          <w:tcPr>
            <w:tcW w:w="374" w:type="pct"/>
            <w:tcBorders>
              <w:top w:val="double" w:sz="4" w:space="0" w:color="auto"/>
            </w:tcBorders>
            <w:shd w:val="clear" w:color="auto" w:fill="auto"/>
            <w:noWrap/>
            <w:vAlign w:val="bottom"/>
            <w:hideMark/>
          </w:tcPr>
          <w:p w14:paraId="4B21EDC4" w14:textId="77777777" w:rsidR="00A14A03" w:rsidRPr="0019575B" w:rsidRDefault="00A14A03" w:rsidP="00AE2262">
            <w:pPr>
              <w:jc w:val="center"/>
              <w:rPr>
                <w:rFonts w:ascii="Times New Roman" w:eastAsia="Times New Roman" w:hAnsi="Times New Roman" w:cs="Times New Roman"/>
                <w:color w:val="000000"/>
                <w:sz w:val="20"/>
                <w:szCs w:val="20"/>
              </w:rPr>
            </w:pPr>
            <w:r w:rsidRPr="0019575B">
              <w:rPr>
                <w:rFonts w:ascii="Times New Roman" w:eastAsia="Times New Roman" w:hAnsi="Times New Roman" w:cs="Times New Roman"/>
                <w:color w:val="000000"/>
                <w:sz w:val="20"/>
                <w:szCs w:val="20"/>
              </w:rPr>
              <w:t>3</w:t>
            </w:r>
          </w:p>
        </w:tc>
        <w:tc>
          <w:tcPr>
            <w:tcW w:w="330" w:type="pct"/>
            <w:tcBorders>
              <w:top w:val="double" w:sz="4" w:space="0" w:color="auto"/>
            </w:tcBorders>
            <w:shd w:val="clear" w:color="auto" w:fill="auto"/>
            <w:noWrap/>
            <w:vAlign w:val="bottom"/>
            <w:hideMark/>
          </w:tcPr>
          <w:p w14:paraId="6FAB5303" w14:textId="77777777" w:rsidR="00A14A03" w:rsidRPr="0019575B" w:rsidRDefault="00A14A03" w:rsidP="00AE2262">
            <w:pPr>
              <w:jc w:val="center"/>
              <w:rPr>
                <w:rFonts w:ascii="Times New Roman" w:eastAsia="Times New Roman" w:hAnsi="Times New Roman" w:cs="Times New Roman"/>
                <w:color w:val="000000"/>
                <w:sz w:val="20"/>
                <w:szCs w:val="20"/>
              </w:rPr>
            </w:pPr>
            <w:r w:rsidRPr="0019575B">
              <w:rPr>
                <w:rFonts w:ascii="Times New Roman" w:eastAsia="Times New Roman" w:hAnsi="Times New Roman" w:cs="Times New Roman"/>
                <w:color w:val="000000"/>
                <w:sz w:val="20"/>
                <w:szCs w:val="20"/>
              </w:rPr>
              <w:t>4</w:t>
            </w:r>
          </w:p>
        </w:tc>
        <w:tc>
          <w:tcPr>
            <w:tcW w:w="416" w:type="pct"/>
            <w:tcBorders>
              <w:top w:val="double" w:sz="4" w:space="0" w:color="auto"/>
            </w:tcBorders>
            <w:shd w:val="clear" w:color="auto" w:fill="auto"/>
            <w:noWrap/>
            <w:vAlign w:val="bottom"/>
            <w:hideMark/>
          </w:tcPr>
          <w:p w14:paraId="1A9C9FFD" w14:textId="77777777" w:rsidR="00A14A03" w:rsidRPr="0019575B" w:rsidRDefault="00A14A03" w:rsidP="00AE2262">
            <w:pPr>
              <w:jc w:val="center"/>
              <w:rPr>
                <w:rFonts w:ascii="Times New Roman" w:eastAsia="Times New Roman" w:hAnsi="Times New Roman" w:cs="Times New Roman"/>
                <w:color w:val="000000"/>
                <w:sz w:val="20"/>
                <w:szCs w:val="20"/>
              </w:rPr>
            </w:pPr>
            <w:r w:rsidRPr="0019575B">
              <w:rPr>
                <w:rFonts w:ascii="Times New Roman" w:eastAsia="Times New Roman" w:hAnsi="Times New Roman" w:cs="Times New Roman"/>
                <w:color w:val="000000"/>
                <w:sz w:val="20"/>
                <w:szCs w:val="20"/>
              </w:rPr>
              <w:t>5</w:t>
            </w:r>
          </w:p>
        </w:tc>
        <w:tc>
          <w:tcPr>
            <w:tcW w:w="374" w:type="pct"/>
            <w:tcBorders>
              <w:top w:val="double" w:sz="4" w:space="0" w:color="auto"/>
            </w:tcBorders>
            <w:shd w:val="clear" w:color="auto" w:fill="auto"/>
            <w:noWrap/>
            <w:vAlign w:val="bottom"/>
            <w:hideMark/>
          </w:tcPr>
          <w:p w14:paraId="05B2772B" w14:textId="77777777" w:rsidR="00A14A03" w:rsidRPr="0019575B" w:rsidRDefault="00A14A03" w:rsidP="00AE2262">
            <w:pPr>
              <w:jc w:val="center"/>
              <w:rPr>
                <w:rFonts w:ascii="Times New Roman" w:eastAsia="Times New Roman" w:hAnsi="Times New Roman" w:cs="Times New Roman"/>
                <w:color w:val="000000"/>
                <w:sz w:val="20"/>
                <w:szCs w:val="20"/>
              </w:rPr>
            </w:pPr>
            <w:r w:rsidRPr="0019575B">
              <w:rPr>
                <w:rFonts w:ascii="Times New Roman" w:eastAsia="Times New Roman" w:hAnsi="Times New Roman" w:cs="Times New Roman"/>
                <w:color w:val="000000"/>
                <w:sz w:val="20"/>
                <w:szCs w:val="20"/>
              </w:rPr>
              <w:t>6</w:t>
            </w:r>
          </w:p>
        </w:tc>
        <w:tc>
          <w:tcPr>
            <w:tcW w:w="344" w:type="pct"/>
            <w:tcBorders>
              <w:top w:val="double" w:sz="4" w:space="0" w:color="auto"/>
            </w:tcBorders>
            <w:shd w:val="clear" w:color="auto" w:fill="auto"/>
            <w:noWrap/>
            <w:vAlign w:val="bottom"/>
            <w:hideMark/>
          </w:tcPr>
          <w:p w14:paraId="2A926053" w14:textId="77777777" w:rsidR="00A14A03" w:rsidRPr="0019575B" w:rsidRDefault="00A14A03" w:rsidP="00AE2262">
            <w:pPr>
              <w:jc w:val="center"/>
              <w:rPr>
                <w:rFonts w:ascii="Times New Roman" w:eastAsia="Times New Roman" w:hAnsi="Times New Roman" w:cs="Times New Roman"/>
                <w:color w:val="000000"/>
                <w:sz w:val="20"/>
                <w:szCs w:val="20"/>
              </w:rPr>
            </w:pPr>
            <w:r w:rsidRPr="0019575B">
              <w:rPr>
                <w:rFonts w:ascii="Times New Roman" w:eastAsia="Times New Roman" w:hAnsi="Times New Roman" w:cs="Times New Roman"/>
                <w:color w:val="000000"/>
                <w:sz w:val="20"/>
                <w:szCs w:val="20"/>
              </w:rPr>
              <w:t>7</w:t>
            </w:r>
          </w:p>
        </w:tc>
        <w:tc>
          <w:tcPr>
            <w:tcW w:w="403" w:type="pct"/>
            <w:tcBorders>
              <w:top w:val="double" w:sz="4" w:space="0" w:color="auto"/>
            </w:tcBorders>
            <w:shd w:val="clear" w:color="auto" w:fill="auto"/>
            <w:noWrap/>
            <w:vAlign w:val="bottom"/>
            <w:hideMark/>
          </w:tcPr>
          <w:p w14:paraId="4C86105E" w14:textId="77777777" w:rsidR="00A14A03" w:rsidRPr="0019575B" w:rsidRDefault="00A14A03" w:rsidP="00AE2262">
            <w:pPr>
              <w:jc w:val="center"/>
              <w:rPr>
                <w:rFonts w:ascii="Times New Roman" w:eastAsia="Times New Roman" w:hAnsi="Times New Roman" w:cs="Times New Roman"/>
                <w:color w:val="000000"/>
                <w:sz w:val="20"/>
                <w:szCs w:val="20"/>
              </w:rPr>
            </w:pPr>
            <w:r w:rsidRPr="0019575B">
              <w:rPr>
                <w:rFonts w:ascii="Times New Roman" w:eastAsia="Times New Roman" w:hAnsi="Times New Roman" w:cs="Times New Roman"/>
                <w:color w:val="000000"/>
                <w:sz w:val="20"/>
                <w:szCs w:val="20"/>
              </w:rPr>
              <w:t>8</w:t>
            </w:r>
          </w:p>
        </w:tc>
        <w:tc>
          <w:tcPr>
            <w:tcW w:w="374" w:type="pct"/>
            <w:tcBorders>
              <w:top w:val="double" w:sz="4" w:space="0" w:color="auto"/>
            </w:tcBorders>
            <w:vAlign w:val="bottom"/>
          </w:tcPr>
          <w:p w14:paraId="4E2EB32D" w14:textId="77777777" w:rsidR="00A14A03" w:rsidRPr="0019575B" w:rsidRDefault="00A14A03" w:rsidP="00AE2262">
            <w:pPr>
              <w:jc w:val="center"/>
              <w:rPr>
                <w:rFonts w:ascii="Times New Roman" w:eastAsia="Times New Roman" w:hAnsi="Times New Roman" w:cs="Times New Roman"/>
                <w:color w:val="000000"/>
                <w:sz w:val="20"/>
                <w:szCs w:val="20"/>
              </w:rPr>
            </w:pPr>
            <w:r w:rsidRPr="0019575B">
              <w:rPr>
                <w:rFonts w:ascii="Times New Roman" w:eastAsia="Times New Roman" w:hAnsi="Times New Roman" w:cs="Times New Roman"/>
                <w:color w:val="000000"/>
                <w:sz w:val="20"/>
                <w:szCs w:val="20"/>
              </w:rPr>
              <w:t>9</w:t>
            </w:r>
          </w:p>
        </w:tc>
      </w:tr>
      <w:tr w:rsidR="00A14A03" w:rsidRPr="0019575B" w14:paraId="3A6BF0FA" w14:textId="77777777" w:rsidTr="00AE2262">
        <w:trPr>
          <w:trHeight w:val="300"/>
        </w:trPr>
        <w:tc>
          <w:tcPr>
            <w:tcW w:w="233" w:type="pct"/>
            <w:tcBorders>
              <w:top w:val="single" w:sz="2" w:space="0" w:color="auto"/>
            </w:tcBorders>
            <w:vAlign w:val="center"/>
          </w:tcPr>
          <w:p w14:paraId="42015837" w14:textId="77777777" w:rsidR="00A14A03" w:rsidRPr="0019575B" w:rsidRDefault="00A14A03" w:rsidP="00AE2262">
            <w:pPr>
              <w:jc w:val="center"/>
              <w:rPr>
                <w:rFonts w:ascii="Times New Roman" w:eastAsia="Times New Roman" w:hAnsi="Times New Roman" w:cs="Times New Roman"/>
                <w:color w:val="000000"/>
                <w:sz w:val="20"/>
                <w:szCs w:val="20"/>
              </w:rPr>
            </w:pPr>
            <w:r w:rsidRPr="0019575B">
              <w:rPr>
                <w:rFonts w:ascii="Times New Roman" w:eastAsia="Times New Roman" w:hAnsi="Times New Roman" w:cs="Times New Roman"/>
                <w:color w:val="000000"/>
                <w:sz w:val="20"/>
                <w:szCs w:val="20"/>
              </w:rPr>
              <w:t>1</w:t>
            </w:r>
          </w:p>
        </w:tc>
        <w:tc>
          <w:tcPr>
            <w:tcW w:w="1409" w:type="pct"/>
            <w:tcBorders>
              <w:top w:val="single" w:sz="2" w:space="0" w:color="auto"/>
            </w:tcBorders>
            <w:shd w:val="clear" w:color="auto" w:fill="auto"/>
            <w:noWrap/>
            <w:vAlign w:val="bottom"/>
            <w:hideMark/>
          </w:tcPr>
          <w:p w14:paraId="48A21105" w14:textId="77777777" w:rsidR="00A14A03" w:rsidRPr="0019575B" w:rsidRDefault="00A14A03" w:rsidP="00AE2262">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Lobbying</w:t>
            </w:r>
          </w:p>
        </w:tc>
        <w:tc>
          <w:tcPr>
            <w:tcW w:w="369" w:type="pct"/>
            <w:tcBorders>
              <w:top w:val="single" w:sz="2" w:space="0" w:color="auto"/>
            </w:tcBorders>
            <w:shd w:val="clear" w:color="auto" w:fill="auto"/>
            <w:noWrap/>
            <w:vAlign w:val="bottom"/>
            <w:hideMark/>
          </w:tcPr>
          <w:p w14:paraId="0C73BAE5" w14:textId="77777777" w:rsidR="00A14A03" w:rsidRPr="0019575B" w:rsidRDefault="00A14A03" w:rsidP="00AE2262">
            <w:pPr>
              <w:jc w:val="center"/>
              <w:rPr>
                <w:rFonts w:ascii="Times New Roman" w:eastAsia="Times New Roman" w:hAnsi="Times New Roman" w:cs="Times New Roman"/>
                <w:color w:val="000000"/>
                <w:sz w:val="20"/>
                <w:szCs w:val="20"/>
              </w:rPr>
            </w:pPr>
            <w:r w:rsidRPr="0019575B">
              <w:rPr>
                <w:rFonts w:ascii="Times New Roman" w:eastAsia="Times New Roman" w:hAnsi="Times New Roman" w:cs="Times New Roman"/>
                <w:color w:val="000000"/>
                <w:sz w:val="20"/>
                <w:szCs w:val="20"/>
              </w:rPr>
              <w:t>1.00</w:t>
            </w:r>
          </w:p>
        </w:tc>
        <w:tc>
          <w:tcPr>
            <w:tcW w:w="374" w:type="pct"/>
            <w:tcBorders>
              <w:top w:val="single" w:sz="2" w:space="0" w:color="auto"/>
            </w:tcBorders>
            <w:shd w:val="clear" w:color="auto" w:fill="auto"/>
            <w:noWrap/>
            <w:vAlign w:val="bottom"/>
            <w:hideMark/>
          </w:tcPr>
          <w:p w14:paraId="4ED5A102" w14:textId="77777777" w:rsidR="00A14A03" w:rsidRPr="0019575B" w:rsidRDefault="00A14A03" w:rsidP="00AE2262">
            <w:pPr>
              <w:jc w:val="center"/>
              <w:rPr>
                <w:rFonts w:ascii="Times New Roman" w:eastAsia="Times New Roman" w:hAnsi="Times New Roman" w:cs="Times New Roman"/>
                <w:color w:val="000000"/>
                <w:sz w:val="20"/>
                <w:szCs w:val="20"/>
              </w:rPr>
            </w:pPr>
          </w:p>
        </w:tc>
        <w:tc>
          <w:tcPr>
            <w:tcW w:w="374" w:type="pct"/>
            <w:tcBorders>
              <w:top w:val="single" w:sz="2" w:space="0" w:color="auto"/>
            </w:tcBorders>
            <w:shd w:val="clear" w:color="auto" w:fill="auto"/>
            <w:noWrap/>
            <w:vAlign w:val="bottom"/>
            <w:hideMark/>
          </w:tcPr>
          <w:p w14:paraId="748E9DF1" w14:textId="77777777" w:rsidR="00A14A03" w:rsidRPr="0019575B" w:rsidRDefault="00A14A03" w:rsidP="00AE2262">
            <w:pPr>
              <w:jc w:val="center"/>
              <w:rPr>
                <w:rFonts w:ascii="Times New Roman" w:eastAsia="Times New Roman" w:hAnsi="Times New Roman" w:cs="Times New Roman"/>
                <w:color w:val="000000"/>
                <w:sz w:val="20"/>
                <w:szCs w:val="20"/>
              </w:rPr>
            </w:pPr>
          </w:p>
        </w:tc>
        <w:tc>
          <w:tcPr>
            <w:tcW w:w="330" w:type="pct"/>
            <w:tcBorders>
              <w:top w:val="single" w:sz="2" w:space="0" w:color="auto"/>
            </w:tcBorders>
            <w:shd w:val="clear" w:color="auto" w:fill="auto"/>
            <w:noWrap/>
            <w:vAlign w:val="bottom"/>
            <w:hideMark/>
          </w:tcPr>
          <w:p w14:paraId="1E4E2D0D" w14:textId="77777777" w:rsidR="00A14A03" w:rsidRPr="0019575B" w:rsidRDefault="00A14A03" w:rsidP="00AE2262">
            <w:pPr>
              <w:jc w:val="center"/>
              <w:rPr>
                <w:rFonts w:ascii="Times New Roman" w:eastAsia="Times New Roman" w:hAnsi="Times New Roman" w:cs="Times New Roman"/>
                <w:color w:val="000000"/>
                <w:sz w:val="20"/>
                <w:szCs w:val="20"/>
              </w:rPr>
            </w:pPr>
          </w:p>
        </w:tc>
        <w:tc>
          <w:tcPr>
            <w:tcW w:w="416" w:type="pct"/>
            <w:tcBorders>
              <w:top w:val="single" w:sz="2" w:space="0" w:color="auto"/>
            </w:tcBorders>
            <w:shd w:val="clear" w:color="auto" w:fill="auto"/>
            <w:noWrap/>
            <w:vAlign w:val="bottom"/>
            <w:hideMark/>
          </w:tcPr>
          <w:p w14:paraId="382300FF" w14:textId="77777777" w:rsidR="00A14A03" w:rsidRPr="0019575B" w:rsidRDefault="00A14A03" w:rsidP="00AE2262">
            <w:pPr>
              <w:jc w:val="center"/>
              <w:rPr>
                <w:rFonts w:ascii="Times New Roman" w:eastAsia="Times New Roman" w:hAnsi="Times New Roman" w:cs="Times New Roman"/>
                <w:color w:val="000000"/>
                <w:sz w:val="20"/>
                <w:szCs w:val="20"/>
              </w:rPr>
            </w:pPr>
          </w:p>
        </w:tc>
        <w:tc>
          <w:tcPr>
            <w:tcW w:w="374" w:type="pct"/>
            <w:tcBorders>
              <w:top w:val="single" w:sz="2" w:space="0" w:color="auto"/>
            </w:tcBorders>
            <w:shd w:val="clear" w:color="auto" w:fill="auto"/>
            <w:noWrap/>
            <w:vAlign w:val="bottom"/>
            <w:hideMark/>
          </w:tcPr>
          <w:p w14:paraId="31EA1619" w14:textId="77777777" w:rsidR="00A14A03" w:rsidRPr="0019575B" w:rsidRDefault="00A14A03" w:rsidP="00AE2262">
            <w:pPr>
              <w:jc w:val="center"/>
              <w:rPr>
                <w:rFonts w:ascii="Times New Roman" w:eastAsia="Times New Roman" w:hAnsi="Times New Roman" w:cs="Times New Roman"/>
                <w:color w:val="000000"/>
                <w:sz w:val="20"/>
                <w:szCs w:val="20"/>
              </w:rPr>
            </w:pPr>
          </w:p>
        </w:tc>
        <w:tc>
          <w:tcPr>
            <w:tcW w:w="344" w:type="pct"/>
            <w:tcBorders>
              <w:top w:val="single" w:sz="2" w:space="0" w:color="auto"/>
            </w:tcBorders>
            <w:shd w:val="clear" w:color="auto" w:fill="auto"/>
            <w:noWrap/>
            <w:vAlign w:val="bottom"/>
            <w:hideMark/>
          </w:tcPr>
          <w:p w14:paraId="7C5E804A" w14:textId="77777777" w:rsidR="00A14A03" w:rsidRPr="0019575B" w:rsidRDefault="00A14A03" w:rsidP="00AE2262">
            <w:pPr>
              <w:jc w:val="center"/>
              <w:rPr>
                <w:rFonts w:ascii="Times New Roman" w:eastAsia="Times New Roman" w:hAnsi="Times New Roman" w:cs="Times New Roman"/>
                <w:color w:val="000000"/>
                <w:sz w:val="20"/>
                <w:szCs w:val="20"/>
              </w:rPr>
            </w:pPr>
          </w:p>
        </w:tc>
        <w:tc>
          <w:tcPr>
            <w:tcW w:w="403" w:type="pct"/>
            <w:tcBorders>
              <w:top w:val="single" w:sz="2" w:space="0" w:color="auto"/>
            </w:tcBorders>
            <w:shd w:val="clear" w:color="auto" w:fill="auto"/>
            <w:noWrap/>
            <w:vAlign w:val="bottom"/>
            <w:hideMark/>
          </w:tcPr>
          <w:p w14:paraId="506C9476" w14:textId="77777777" w:rsidR="00A14A03" w:rsidRPr="0019575B" w:rsidRDefault="00A14A03" w:rsidP="00AE2262">
            <w:pPr>
              <w:jc w:val="center"/>
              <w:rPr>
                <w:rFonts w:ascii="Times New Roman" w:eastAsia="Times New Roman" w:hAnsi="Times New Roman" w:cs="Times New Roman"/>
                <w:color w:val="000000"/>
                <w:sz w:val="20"/>
                <w:szCs w:val="20"/>
              </w:rPr>
            </w:pPr>
          </w:p>
        </w:tc>
        <w:tc>
          <w:tcPr>
            <w:tcW w:w="374" w:type="pct"/>
            <w:tcBorders>
              <w:top w:val="single" w:sz="2" w:space="0" w:color="auto"/>
            </w:tcBorders>
            <w:vAlign w:val="bottom"/>
          </w:tcPr>
          <w:p w14:paraId="70885D30" w14:textId="77777777" w:rsidR="00A14A03" w:rsidRPr="0019575B" w:rsidRDefault="00A14A03" w:rsidP="00AE2262">
            <w:pPr>
              <w:jc w:val="center"/>
              <w:rPr>
                <w:rFonts w:ascii="Times New Roman" w:eastAsia="Times New Roman" w:hAnsi="Times New Roman" w:cs="Times New Roman"/>
                <w:color w:val="000000"/>
                <w:sz w:val="20"/>
                <w:szCs w:val="20"/>
              </w:rPr>
            </w:pPr>
          </w:p>
        </w:tc>
      </w:tr>
      <w:tr w:rsidR="00A14A03" w:rsidRPr="0019575B" w14:paraId="66EBF704" w14:textId="77777777" w:rsidTr="00AE2262">
        <w:trPr>
          <w:trHeight w:val="300"/>
        </w:trPr>
        <w:tc>
          <w:tcPr>
            <w:tcW w:w="233" w:type="pct"/>
            <w:vAlign w:val="center"/>
          </w:tcPr>
          <w:p w14:paraId="5A086815" w14:textId="77777777" w:rsidR="00A14A03" w:rsidRPr="0019575B" w:rsidRDefault="00A14A03" w:rsidP="00AE2262">
            <w:pPr>
              <w:jc w:val="center"/>
              <w:rPr>
                <w:rFonts w:ascii="Times New Roman" w:eastAsia="Times New Roman" w:hAnsi="Times New Roman" w:cs="Times New Roman"/>
                <w:color w:val="000000"/>
                <w:sz w:val="20"/>
                <w:szCs w:val="20"/>
              </w:rPr>
            </w:pPr>
            <w:r w:rsidRPr="0019575B">
              <w:rPr>
                <w:rFonts w:ascii="Times New Roman" w:eastAsia="Times New Roman" w:hAnsi="Times New Roman" w:cs="Times New Roman"/>
                <w:color w:val="000000"/>
                <w:sz w:val="20"/>
                <w:szCs w:val="20"/>
              </w:rPr>
              <w:t>2</w:t>
            </w:r>
          </w:p>
        </w:tc>
        <w:tc>
          <w:tcPr>
            <w:tcW w:w="1409" w:type="pct"/>
            <w:shd w:val="clear" w:color="auto" w:fill="auto"/>
            <w:noWrap/>
            <w:vAlign w:val="bottom"/>
            <w:hideMark/>
          </w:tcPr>
          <w:p w14:paraId="0F8DCF7D" w14:textId="77777777" w:rsidR="00A14A03" w:rsidRPr="0019575B" w:rsidRDefault="00A14A03" w:rsidP="00AE2262">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VC backed dummy</w:t>
            </w:r>
          </w:p>
        </w:tc>
        <w:tc>
          <w:tcPr>
            <w:tcW w:w="369" w:type="pct"/>
            <w:shd w:val="clear" w:color="auto" w:fill="auto"/>
            <w:noWrap/>
            <w:vAlign w:val="bottom"/>
            <w:hideMark/>
          </w:tcPr>
          <w:p w14:paraId="4E5DAA6D" w14:textId="77777777" w:rsidR="00A14A03" w:rsidRPr="0019575B" w:rsidRDefault="00A14A03" w:rsidP="00AE2262">
            <w:pPr>
              <w:jc w:val="center"/>
              <w:rPr>
                <w:rFonts w:ascii="Times New Roman" w:eastAsia="Times New Roman" w:hAnsi="Times New Roman" w:cs="Times New Roman"/>
                <w:color w:val="000000"/>
                <w:sz w:val="20"/>
                <w:szCs w:val="20"/>
              </w:rPr>
            </w:pPr>
            <w:r w:rsidRPr="0019575B">
              <w:rPr>
                <w:rFonts w:ascii="Times New Roman" w:eastAsia="Times New Roman" w:hAnsi="Times New Roman" w:cs="Times New Roman"/>
                <w:color w:val="000000"/>
                <w:sz w:val="20"/>
                <w:szCs w:val="20"/>
              </w:rPr>
              <w:t>-0.</w:t>
            </w:r>
            <w:r>
              <w:rPr>
                <w:rFonts w:ascii="Times New Roman" w:eastAsia="Times New Roman" w:hAnsi="Times New Roman" w:cs="Times New Roman"/>
                <w:color w:val="000000"/>
                <w:sz w:val="20"/>
                <w:szCs w:val="20"/>
              </w:rPr>
              <w:t>20</w:t>
            </w:r>
          </w:p>
        </w:tc>
        <w:tc>
          <w:tcPr>
            <w:tcW w:w="374" w:type="pct"/>
            <w:shd w:val="clear" w:color="auto" w:fill="auto"/>
            <w:noWrap/>
            <w:vAlign w:val="bottom"/>
            <w:hideMark/>
          </w:tcPr>
          <w:p w14:paraId="7A600464" w14:textId="77777777" w:rsidR="00A14A03" w:rsidRPr="0019575B" w:rsidRDefault="00A14A03" w:rsidP="00AE2262">
            <w:pPr>
              <w:jc w:val="center"/>
              <w:rPr>
                <w:rFonts w:ascii="Times New Roman" w:eastAsia="Times New Roman" w:hAnsi="Times New Roman" w:cs="Times New Roman"/>
                <w:color w:val="000000"/>
                <w:sz w:val="20"/>
                <w:szCs w:val="20"/>
              </w:rPr>
            </w:pPr>
            <w:r w:rsidRPr="0019575B">
              <w:rPr>
                <w:rFonts w:ascii="Times New Roman" w:eastAsia="Times New Roman" w:hAnsi="Times New Roman" w:cs="Times New Roman"/>
                <w:color w:val="000000"/>
                <w:sz w:val="20"/>
                <w:szCs w:val="20"/>
              </w:rPr>
              <w:t>1.00</w:t>
            </w:r>
          </w:p>
        </w:tc>
        <w:tc>
          <w:tcPr>
            <w:tcW w:w="374" w:type="pct"/>
            <w:shd w:val="clear" w:color="auto" w:fill="auto"/>
            <w:noWrap/>
            <w:vAlign w:val="bottom"/>
            <w:hideMark/>
          </w:tcPr>
          <w:p w14:paraId="509566A4" w14:textId="77777777" w:rsidR="00A14A03" w:rsidRPr="0019575B" w:rsidRDefault="00A14A03" w:rsidP="00AE2262">
            <w:pPr>
              <w:jc w:val="center"/>
              <w:rPr>
                <w:rFonts w:ascii="Times New Roman" w:eastAsia="Times New Roman" w:hAnsi="Times New Roman" w:cs="Times New Roman"/>
                <w:color w:val="000000"/>
                <w:sz w:val="20"/>
                <w:szCs w:val="20"/>
              </w:rPr>
            </w:pPr>
          </w:p>
        </w:tc>
        <w:tc>
          <w:tcPr>
            <w:tcW w:w="330" w:type="pct"/>
            <w:shd w:val="clear" w:color="auto" w:fill="auto"/>
            <w:noWrap/>
            <w:vAlign w:val="bottom"/>
            <w:hideMark/>
          </w:tcPr>
          <w:p w14:paraId="0E8F743A" w14:textId="77777777" w:rsidR="00A14A03" w:rsidRPr="0019575B" w:rsidRDefault="00A14A03" w:rsidP="00AE2262">
            <w:pPr>
              <w:jc w:val="center"/>
              <w:rPr>
                <w:rFonts w:ascii="Times New Roman" w:eastAsia="Times New Roman" w:hAnsi="Times New Roman" w:cs="Times New Roman"/>
                <w:color w:val="000000"/>
                <w:sz w:val="20"/>
                <w:szCs w:val="20"/>
              </w:rPr>
            </w:pPr>
          </w:p>
        </w:tc>
        <w:tc>
          <w:tcPr>
            <w:tcW w:w="416" w:type="pct"/>
            <w:shd w:val="clear" w:color="auto" w:fill="auto"/>
            <w:noWrap/>
            <w:vAlign w:val="bottom"/>
            <w:hideMark/>
          </w:tcPr>
          <w:p w14:paraId="306A95F6" w14:textId="77777777" w:rsidR="00A14A03" w:rsidRPr="0019575B" w:rsidRDefault="00A14A03" w:rsidP="00AE2262">
            <w:pPr>
              <w:jc w:val="center"/>
              <w:rPr>
                <w:rFonts w:ascii="Times New Roman" w:eastAsia="Times New Roman" w:hAnsi="Times New Roman" w:cs="Times New Roman"/>
                <w:color w:val="000000"/>
                <w:sz w:val="20"/>
                <w:szCs w:val="20"/>
              </w:rPr>
            </w:pPr>
          </w:p>
        </w:tc>
        <w:tc>
          <w:tcPr>
            <w:tcW w:w="374" w:type="pct"/>
            <w:shd w:val="clear" w:color="auto" w:fill="auto"/>
            <w:noWrap/>
            <w:vAlign w:val="bottom"/>
            <w:hideMark/>
          </w:tcPr>
          <w:p w14:paraId="0407BD63" w14:textId="77777777" w:rsidR="00A14A03" w:rsidRPr="0019575B" w:rsidRDefault="00A14A03" w:rsidP="00AE2262">
            <w:pPr>
              <w:jc w:val="center"/>
              <w:rPr>
                <w:rFonts w:ascii="Times New Roman" w:eastAsia="Times New Roman" w:hAnsi="Times New Roman" w:cs="Times New Roman"/>
                <w:color w:val="000000"/>
                <w:sz w:val="20"/>
                <w:szCs w:val="20"/>
              </w:rPr>
            </w:pPr>
          </w:p>
        </w:tc>
        <w:tc>
          <w:tcPr>
            <w:tcW w:w="344" w:type="pct"/>
            <w:shd w:val="clear" w:color="auto" w:fill="auto"/>
            <w:noWrap/>
            <w:vAlign w:val="bottom"/>
            <w:hideMark/>
          </w:tcPr>
          <w:p w14:paraId="37F9293A" w14:textId="77777777" w:rsidR="00A14A03" w:rsidRPr="0019575B" w:rsidRDefault="00A14A03" w:rsidP="00AE2262">
            <w:pPr>
              <w:jc w:val="center"/>
              <w:rPr>
                <w:rFonts w:ascii="Times New Roman" w:eastAsia="Times New Roman" w:hAnsi="Times New Roman" w:cs="Times New Roman"/>
                <w:color w:val="000000"/>
                <w:sz w:val="20"/>
                <w:szCs w:val="20"/>
              </w:rPr>
            </w:pPr>
          </w:p>
        </w:tc>
        <w:tc>
          <w:tcPr>
            <w:tcW w:w="403" w:type="pct"/>
            <w:shd w:val="clear" w:color="auto" w:fill="auto"/>
            <w:noWrap/>
            <w:vAlign w:val="bottom"/>
            <w:hideMark/>
          </w:tcPr>
          <w:p w14:paraId="6CAF5AA1" w14:textId="77777777" w:rsidR="00A14A03" w:rsidRPr="0019575B" w:rsidRDefault="00A14A03" w:rsidP="00AE2262">
            <w:pPr>
              <w:jc w:val="center"/>
              <w:rPr>
                <w:rFonts w:ascii="Times New Roman" w:eastAsia="Times New Roman" w:hAnsi="Times New Roman" w:cs="Times New Roman"/>
                <w:color w:val="000000"/>
                <w:sz w:val="20"/>
                <w:szCs w:val="20"/>
              </w:rPr>
            </w:pPr>
          </w:p>
        </w:tc>
        <w:tc>
          <w:tcPr>
            <w:tcW w:w="374" w:type="pct"/>
            <w:vAlign w:val="bottom"/>
          </w:tcPr>
          <w:p w14:paraId="1E34B40C" w14:textId="77777777" w:rsidR="00A14A03" w:rsidRPr="0019575B" w:rsidRDefault="00A14A03" w:rsidP="00AE2262">
            <w:pPr>
              <w:jc w:val="center"/>
              <w:rPr>
                <w:rFonts w:ascii="Times New Roman" w:eastAsia="Times New Roman" w:hAnsi="Times New Roman" w:cs="Times New Roman"/>
                <w:color w:val="000000"/>
                <w:sz w:val="20"/>
                <w:szCs w:val="20"/>
              </w:rPr>
            </w:pPr>
          </w:p>
        </w:tc>
      </w:tr>
      <w:tr w:rsidR="00A14A03" w:rsidRPr="0019575B" w14:paraId="470319CF" w14:textId="77777777" w:rsidTr="00AE2262">
        <w:trPr>
          <w:trHeight w:val="300"/>
        </w:trPr>
        <w:tc>
          <w:tcPr>
            <w:tcW w:w="233" w:type="pct"/>
            <w:vAlign w:val="center"/>
          </w:tcPr>
          <w:p w14:paraId="0570394F" w14:textId="77777777" w:rsidR="00A14A03" w:rsidRPr="0019575B" w:rsidRDefault="00A14A03" w:rsidP="00AE2262">
            <w:pPr>
              <w:jc w:val="center"/>
              <w:rPr>
                <w:rFonts w:ascii="Times New Roman" w:eastAsia="Times New Roman" w:hAnsi="Times New Roman" w:cs="Times New Roman"/>
                <w:color w:val="000000"/>
                <w:sz w:val="20"/>
                <w:szCs w:val="20"/>
              </w:rPr>
            </w:pPr>
            <w:r w:rsidRPr="0019575B">
              <w:rPr>
                <w:rFonts w:ascii="Times New Roman" w:eastAsia="Times New Roman" w:hAnsi="Times New Roman" w:cs="Times New Roman"/>
                <w:color w:val="000000"/>
                <w:sz w:val="20"/>
                <w:szCs w:val="20"/>
              </w:rPr>
              <w:t>3</w:t>
            </w:r>
          </w:p>
        </w:tc>
        <w:tc>
          <w:tcPr>
            <w:tcW w:w="1409" w:type="pct"/>
            <w:shd w:val="clear" w:color="auto" w:fill="auto"/>
            <w:noWrap/>
            <w:vAlign w:val="bottom"/>
            <w:hideMark/>
          </w:tcPr>
          <w:p w14:paraId="3D5351E8" w14:textId="77777777" w:rsidR="00A14A03" w:rsidRPr="0019575B" w:rsidRDefault="00A14A03" w:rsidP="00AE2262">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R&amp;D/Sales</w:t>
            </w:r>
          </w:p>
        </w:tc>
        <w:tc>
          <w:tcPr>
            <w:tcW w:w="369" w:type="pct"/>
            <w:shd w:val="clear" w:color="auto" w:fill="auto"/>
            <w:vAlign w:val="bottom"/>
          </w:tcPr>
          <w:p w14:paraId="407A12B0" w14:textId="77777777" w:rsidR="00A14A03" w:rsidRPr="0019575B" w:rsidRDefault="00A14A03" w:rsidP="00AE2262">
            <w:pPr>
              <w:rPr>
                <w:rFonts w:ascii="Times New Roman" w:eastAsia="Times New Roman" w:hAnsi="Times New Roman" w:cs="Times New Roman"/>
                <w:color w:val="000000"/>
                <w:sz w:val="20"/>
                <w:szCs w:val="20"/>
              </w:rPr>
            </w:pPr>
          </w:p>
        </w:tc>
        <w:tc>
          <w:tcPr>
            <w:tcW w:w="374" w:type="pct"/>
            <w:shd w:val="clear" w:color="auto" w:fill="auto"/>
            <w:noWrap/>
            <w:vAlign w:val="bottom"/>
            <w:hideMark/>
          </w:tcPr>
          <w:p w14:paraId="262BC8E0" w14:textId="77777777" w:rsidR="00A14A03" w:rsidRPr="0019575B" w:rsidRDefault="00A14A03" w:rsidP="00AE2262">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0.02</w:t>
            </w:r>
          </w:p>
        </w:tc>
        <w:tc>
          <w:tcPr>
            <w:tcW w:w="374" w:type="pct"/>
            <w:shd w:val="clear" w:color="auto" w:fill="auto"/>
            <w:noWrap/>
            <w:vAlign w:val="bottom"/>
            <w:hideMark/>
          </w:tcPr>
          <w:p w14:paraId="78C5F22B" w14:textId="77777777" w:rsidR="00A14A03" w:rsidRPr="0019575B" w:rsidRDefault="00A14A03" w:rsidP="00AE2262">
            <w:pPr>
              <w:jc w:val="center"/>
              <w:rPr>
                <w:rFonts w:ascii="Times New Roman" w:eastAsia="Times New Roman" w:hAnsi="Times New Roman" w:cs="Times New Roman"/>
                <w:color w:val="000000"/>
                <w:sz w:val="20"/>
                <w:szCs w:val="20"/>
              </w:rPr>
            </w:pPr>
            <w:r w:rsidRPr="0019575B">
              <w:rPr>
                <w:rFonts w:ascii="Times New Roman" w:eastAsia="Times New Roman" w:hAnsi="Times New Roman" w:cs="Times New Roman"/>
                <w:color w:val="000000"/>
                <w:sz w:val="20"/>
                <w:szCs w:val="20"/>
              </w:rPr>
              <w:t>1.00</w:t>
            </w:r>
          </w:p>
        </w:tc>
        <w:tc>
          <w:tcPr>
            <w:tcW w:w="330" w:type="pct"/>
            <w:shd w:val="clear" w:color="auto" w:fill="auto"/>
            <w:noWrap/>
            <w:vAlign w:val="bottom"/>
            <w:hideMark/>
          </w:tcPr>
          <w:p w14:paraId="5CE84FAF" w14:textId="77777777" w:rsidR="00A14A03" w:rsidRPr="0019575B" w:rsidRDefault="00A14A03" w:rsidP="00AE2262">
            <w:pPr>
              <w:jc w:val="center"/>
              <w:rPr>
                <w:rFonts w:ascii="Times New Roman" w:eastAsia="Times New Roman" w:hAnsi="Times New Roman" w:cs="Times New Roman"/>
                <w:color w:val="000000"/>
                <w:sz w:val="20"/>
                <w:szCs w:val="20"/>
              </w:rPr>
            </w:pPr>
          </w:p>
        </w:tc>
        <w:tc>
          <w:tcPr>
            <w:tcW w:w="416" w:type="pct"/>
            <w:shd w:val="clear" w:color="auto" w:fill="auto"/>
            <w:noWrap/>
            <w:vAlign w:val="bottom"/>
            <w:hideMark/>
          </w:tcPr>
          <w:p w14:paraId="5745D459" w14:textId="77777777" w:rsidR="00A14A03" w:rsidRPr="0019575B" w:rsidRDefault="00A14A03" w:rsidP="00AE2262">
            <w:pPr>
              <w:jc w:val="center"/>
              <w:rPr>
                <w:rFonts w:ascii="Times New Roman" w:eastAsia="Times New Roman" w:hAnsi="Times New Roman" w:cs="Times New Roman"/>
                <w:color w:val="000000"/>
                <w:sz w:val="20"/>
                <w:szCs w:val="20"/>
              </w:rPr>
            </w:pPr>
          </w:p>
        </w:tc>
        <w:tc>
          <w:tcPr>
            <w:tcW w:w="374" w:type="pct"/>
            <w:shd w:val="clear" w:color="auto" w:fill="auto"/>
            <w:noWrap/>
            <w:vAlign w:val="bottom"/>
            <w:hideMark/>
          </w:tcPr>
          <w:p w14:paraId="2CF04A20" w14:textId="77777777" w:rsidR="00A14A03" w:rsidRPr="0019575B" w:rsidRDefault="00A14A03" w:rsidP="00AE2262">
            <w:pPr>
              <w:jc w:val="center"/>
              <w:rPr>
                <w:rFonts w:ascii="Times New Roman" w:eastAsia="Times New Roman" w:hAnsi="Times New Roman" w:cs="Times New Roman"/>
                <w:color w:val="000000"/>
                <w:sz w:val="20"/>
                <w:szCs w:val="20"/>
              </w:rPr>
            </w:pPr>
          </w:p>
        </w:tc>
        <w:tc>
          <w:tcPr>
            <w:tcW w:w="344" w:type="pct"/>
            <w:shd w:val="clear" w:color="auto" w:fill="auto"/>
            <w:noWrap/>
            <w:vAlign w:val="bottom"/>
            <w:hideMark/>
          </w:tcPr>
          <w:p w14:paraId="195887C4" w14:textId="77777777" w:rsidR="00A14A03" w:rsidRPr="0019575B" w:rsidRDefault="00A14A03" w:rsidP="00AE2262">
            <w:pPr>
              <w:jc w:val="center"/>
              <w:rPr>
                <w:rFonts w:ascii="Times New Roman" w:eastAsia="Times New Roman" w:hAnsi="Times New Roman" w:cs="Times New Roman"/>
                <w:color w:val="000000"/>
                <w:sz w:val="20"/>
                <w:szCs w:val="20"/>
              </w:rPr>
            </w:pPr>
          </w:p>
        </w:tc>
        <w:tc>
          <w:tcPr>
            <w:tcW w:w="403" w:type="pct"/>
            <w:shd w:val="clear" w:color="auto" w:fill="auto"/>
            <w:noWrap/>
            <w:vAlign w:val="bottom"/>
            <w:hideMark/>
          </w:tcPr>
          <w:p w14:paraId="745D3162" w14:textId="77777777" w:rsidR="00A14A03" w:rsidRPr="0019575B" w:rsidRDefault="00A14A03" w:rsidP="00AE2262">
            <w:pPr>
              <w:jc w:val="center"/>
              <w:rPr>
                <w:rFonts w:ascii="Times New Roman" w:eastAsia="Times New Roman" w:hAnsi="Times New Roman" w:cs="Times New Roman"/>
                <w:color w:val="000000"/>
                <w:sz w:val="20"/>
                <w:szCs w:val="20"/>
              </w:rPr>
            </w:pPr>
          </w:p>
        </w:tc>
        <w:tc>
          <w:tcPr>
            <w:tcW w:w="374" w:type="pct"/>
            <w:vAlign w:val="bottom"/>
          </w:tcPr>
          <w:p w14:paraId="363C6BDF" w14:textId="77777777" w:rsidR="00A14A03" w:rsidRPr="0019575B" w:rsidRDefault="00A14A03" w:rsidP="00AE2262">
            <w:pPr>
              <w:jc w:val="center"/>
              <w:rPr>
                <w:rFonts w:ascii="Times New Roman" w:eastAsia="Times New Roman" w:hAnsi="Times New Roman" w:cs="Times New Roman"/>
                <w:color w:val="000000"/>
                <w:sz w:val="20"/>
                <w:szCs w:val="20"/>
              </w:rPr>
            </w:pPr>
          </w:p>
        </w:tc>
      </w:tr>
      <w:tr w:rsidR="00A14A03" w:rsidRPr="0019575B" w14:paraId="33C63474" w14:textId="77777777" w:rsidTr="00AE2262">
        <w:trPr>
          <w:trHeight w:val="300"/>
        </w:trPr>
        <w:tc>
          <w:tcPr>
            <w:tcW w:w="233" w:type="pct"/>
            <w:vAlign w:val="center"/>
          </w:tcPr>
          <w:p w14:paraId="5D020532" w14:textId="77777777" w:rsidR="00A14A03" w:rsidRPr="0019575B" w:rsidRDefault="00A14A03" w:rsidP="00AE2262">
            <w:pPr>
              <w:jc w:val="center"/>
              <w:rPr>
                <w:rFonts w:ascii="Times New Roman" w:eastAsia="Times New Roman" w:hAnsi="Times New Roman" w:cs="Times New Roman"/>
                <w:color w:val="000000"/>
                <w:sz w:val="20"/>
                <w:szCs w:val="20"/>
              </w:rPr>
            </w:pPr>
            <w:r w:rsidRPr="0019575B">
              <w:rPr>
                <w:rFonts w:ascii="Times New Roman" w:eastAsia="Times New Roman" w:hAnsi="Times New Roman" w:cs="Times New Roman"/>
                <w:color w:val="000000"/>
                <w:sz w:val="20"/>
                <w:szCs w:val="20"/>
              </w:rPr>
              <w:t>4</w:t>
            </w:r>
          </w:p>
        </w:tc>
        <w:tc>
          <w:tcPr>
            <w:tcW w:w="1409" w:type="pct"/>
            <w:shd w:val="clear" w:color="auto" w:fill="auto"/>
            <w:noWrap/>
            <w:vAlign w:val="bottom"/>
            <w:hideMark/>
          </w:tcPr>
          <w:p w14:paraId="318E37B1" w14:textId="77777777" w:rsidR="00A14A03" w:rsidRPr="0019575B" w:rsidRDefault="00A14A03" w:rsidP="00AE2262">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Log(Assets)</w:t>
            </w:r>
          </w:p>
        </w:tc>
        <w:tc>
          <w:tcPr>
            <w:tcW w:w="369" w:type="pct"/>
            <w:shd w:val="clear" w:color="auto" w:fill="auto"/>
            <w:noWrap/>
            <w:vAlign w:val="bottom"/>
            <w:hideMark/>
          </w:tcPr>
          <w:p w14:paraId="37FB43B0" w14:textId="77777777" w:rsidR="00A14A03" w:rsidRPr="0019575B" w:rsidRDefault="00A14A03" w:rsidP="00AE2262">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0.23</w:t>
            </w:r>
          </w:p>
        </w:tc>
        <w:tc>
          <w:tcPr>
            <w:tcW w:w="374" w:type="pct"/>
            <w:shd w:val="clear" w:color="auto" w:fill="auto"/>
            <w:noWrap/>
            <w:vAlign w:val="bottom"/>
            <w:hideMark/>
          </w:tcPr>
          <w:p w14:paraId="3D608E3B" w14:textId="77777777" w:rsidR="00A14A03" w:rsidRPr="0019575B" w:rsidRDefault="00A14A03" w:rsidP="00AE2262">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0.03</w:t>
            </w:r>
          </w:p>
        </w:tc>
        <w:tc>
          <w:tcPr>
            <w:tcW w:w="374" w:type="pct"/>
            <w:shd w:val="clear" w:color="auto" w:fill="auto"/>
            <w:noWrap/>
            <w:vAlign w:val="bottom"/>
            <w:hideMark/>
          </w:tcPr>
          <w:p w14:paraId="3C3D385D" w14:textId="77777777" w:rsidR="00A14A03" w:rsidRPr="0019575B" w:rsidRDefault="00A14A03" w:rsidP="00AE2262">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-0.02</w:t>
            </w:r>
          </w:p>
        </w:tc>
        <w:tc>
          <w:tcPr>
            <w:tcW w:w="330" w:type="pct"/>
            <w:shd w:val="clear" w:color="auto" w:fill="auto"/>
            <w:noWrap/>
            <w:vAlign w:val="bottom"/>
            <w:hideMark/>
          </w:tcPr>
          <w:p w14:paraId="13A813D7" w14:textId="77777777" w:rsidR="00A14A03" w:rsidRPr="0019575B" w:rsidRDefault="00A14A03" w:rsidP="00AE2262">
            <w:pPr>
              <w:jc w:val="center"/>
              <w:rPr>
                <w:rFonts w:ascii="Times New Roman" w:eastAsia="Times New Roman" w:hAnsi="Times New Roman" w:cs="Times New Roman"/>
                <w:color w:val="000000"/>
                <w:sz w:val="20"/>
                <w:szCs w:val="20"/>
              </w:rPr>
            </w:pPr>
            <w:r w:rsidRPr="0019575B">
              <w:rPr>
                <w:rFonts w:ascii="Times New Roman" w:eastAsia="Times New Roman" w:hAnsi="Times New Roman" w:cs="Times New Roman"/>
                <w:color w:val="000000"/>
                <w:sz w:val="20"/>
                <w:szCs w:val="20"/>
              </w:rPr>
              <w:t>1.00</w:t>
            </w:r>
          </w:p>
        </w:tc>
        <w:tc>
          <w:tcPr>
            <w:tcW w:w="416" w:type="pct"/>
            <w:shd w:val="clear" w:color="auto" w:fill="auto"/>
            <w:noWrap/>
            <w:vAlign w:val="bottom"/>
            <w:hideMark/>
          </w:tcPr>
          <w:p w14:paraId="320DE098" w14:textId="77777777" w:rsidR="00A14A03" w:rsidRPr="0019575B" w:rsidRDefault="00A14A03" w:rsidP="00AE2262">
            <w:pPr>
              <w:jc w:val="center"/>
              <w:rPr>
                <w:rFonts w:ascii="Times New Roman" w:eastAsia="Times New Roman" w:hAnsi="Times New Roman" w:cs="Times New Roman"/>
                <w:color w:val="000000"/>
                <w:sz w:val="20"/>
                <w:szCs w:val="20"/>
              </w:rPr>
            </w:pPr>
          </w:p>
        </w:tc>
        <w:tc>
          <w:tcPr>
            <w:tcW w:w="374" w:type="pct"/>
            <w:shd w:val="clear" w:color="auto" w:fill="auto"/>
            <w:noWrap/>
            <w:vAlign w:val="bottom"/>
            <w:hideMark/>
          </w:tcPr>
          <w:p w14:paraId="596DF79E" w14:textId="77777777" w:rsidR="00A14A03" w:rsidRPr="0019575B" w:rsidRDefault="00A14A03" w:rsidP="00AE2262">
            <w:pPr>
              <w:jc w:val="center"/>
              <w:rPr>
                <w:rFonts w:ascii="Times New Roman" w:eastAsia="Times New Roman" w:hAnsi="Times New Roman" w:cs="Times New Roman"/>
                <w:color w:val="000000"/>
                <w:sz w:val="20"/>
                <w:szCs w:val="20"/>
              </w:rPr>
            </w:pPr>
          </w:p>
        </w:tc>
        <w:tc>
          <w:tcPr>
            <w:tcW w:w="344" w:type="pct"/>
            <w:shd w:val="clear" w:color="auto" w:fill="auto"/>
            <w:noWrap/>
            <w:vAlign w:val="bottom"/>
            <w:hideMark/>
          </w:tcPr>
          <w:p w14:paraId="6AC13E6A" w14:textId="77777777" w:rsidR="00A14A03" w:rsidRPr="0019575B" w:rsidRDefault="00A14A03" w:rsidP="00AE2262">
            <w:pPr>
              <w:jc w:val="center"/>
              <w:rPr>
                <w:rFonts w:ascii="Times New Roman" w:eastAsia="Times New Roman" w:hAnsi="Times New Roman" w:cs="Times New Roman"/>
                <w:color w:val="000000"/>
                <w:sz w:val="20"/>
                <w:szCs w:val="20"/>
              </w:rPr>
            </w:pPr>
          </w:p>
        </w:tc>
        <w:tc>
          <w:tcPr>
            <w:tcW w:w="403" w:type="pct"/>
            <w:shd w:val="clear" w:color="auto" w:fill="auto"/>
            <w:noWrap/>
            <w:vAlign w:val="bottom"/>
            <w:hideMark/>
          </w:tcPr>
          <w:p w14:paraId="1284566E" w14:textId="77777777" w:rsidR="00A14A03" w:rsidRPr="0019575B" w:rsidRDefault="00A14A03" w:rsidP="00AE2262">
            <w:pPr>
              <w:jc w:val="center"/>
              <w:rPr>
                <w:rFonts w:ascii="Times New Roman" w:eastAsia="Times New Roman" w:hAnsi="Times New Roman" w:cs="Times New Roman"/>
                <w:color w:val="000000"/>
                <w:sz w:val="20"/>
                <w:szCs w:val="20"/>
              </w:rPr>
            </w:pPr>
          </w:p>
        </w:tc>
        <w:tc>
          <w:tcPr>
            <w:tcW w:w="374" w:type="pct"/>
            <w:vAlign w:val="bottom"/>
          </w:tcPr>
          <w:p w14:paraId="79F47F57" w14:textId="77777777" w:rsidR="00A14A03" w:rsidRPr="0019575B" w:rsidRDefault="00A14A03" w:rsidP="00AE2262">
            <w:pPr>
              <w:jc w:val="center"/>
              <w:rPr>
                <w:rFonts w:ascii="Times New Roman" w:eastAsia="Times New Roman" w:hAnsi="Times New Roman" w:cs="Times New Roman"/>
                <w:color w:val="000000"/>
                <w:sz w:val="20"/>
                <w:szCs w:val="20"/>
              </w:rPr>
            </w:pPr>
          </w:p>
        </w:tc>
      </w:tr>
      <w:tr w:rsidR="00A14A03" w:rsidRPr="0019575B" w14:paraId="348BB696" w14:textId="77777777" w:rsidTr="00AE2262">
        <w:trPr>
          <w:trHeight w:val="300"/>
        </w:trPr>
        <w:tc>
          <w:tcPr>
            <w:tcW w:w="233" w:type="pct"/>
            <w:vAlign w:val="center"/>
          </w:tcPr>
          <w:p w14:paraId="55D705C1" w14:textId="77777777" w:rsidR="00A14A03" w:rsidRPr="0019575B" w:rsidRDefault="00A14A03" w:rsidP="00AE2262">
            <w:pPr>
              <w:jc w:val="center"/>
              <w:rPr>
                <w:rFonts w:ascii="Times New Roman" w:eastAsia="Times New Roman" w:hAnsi="Times New Roman" w:cs="Times New Roman"/>
                <w:color w:val="000000"/>
                <w:sz w:val="20"/>
                <w:szCs w:val="20"/>
              </w:rPr>
            </w:pPr>
            <w:r w:rsidRPr="0019575B">
              <w:rPr>
                <w:rFonts w:ascii="Times New Roman" w:eastAsia="Times New Roman" w:hAnsi="Times New Roman" w:cs="Times New Roman"/>
                <w:color w:val="000000"/>
                <w:sz w:val="20"/>
                <w:szCs w:val="20"/>
              </w:rPr>
              <w:t>5</w:t>
            </w:r>
          </w:p>
        </w:tc>
        <w:tc>
          <w:tcPr>
            <w:tcW w:w="1409" w:type="pct"/>
            <w:shd w:val="clear" w:color="auto" w:fill="auto"/>
            <w:noWrap/>
            <w:vAlign w:val="bottom"/>
            <w:hideMark/>
          </w:tcPr>
          <w:p w14:paraId="35049F1F" w14:textId="77777777" w:rsidR="00A14A03" w:rsidRPr="0019575B" w:rsidRDefault="00A14A03" w:rsidP="00AE2262">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Inventory/sales</w:t>
            </w:r>
          </w:p>
        </w:tc>
        <w:tc>
          <w:tcPr>
            <w:tcW w:w="369" w:type="pct"/>
            <w:shd w:val="clear" w:color="auto" w:fill="auto"/>
            <w:noWrap/>
            <w:vAlign w:val="bottom"/>
            <w:hideMark/>
          </w:tcPr>
          <w:p w14:paraId="0D593238" w14:textId="77777777" w:rsidR="00A14A03" w:rsidRPr="0019575B" w:rsidRDefault="00A14A03" w:rsidP="00AE2262">
            <w:pPr>
              <w:jc w:val="center"/>
              <w:rPr>
                <w:rFonts w:ascii="Times New Roman" w:eastAsia="Times New Roman" w:hAnsi="Times New Roman" w:cs="Times New Roman"/>
                <w:color w:val="000000"/>
                <w:sz w:val="20"/>
                <w:szCs w:val="20"/>
              </w:rPr>
            </w:pPr>
          </w:p>
        </w:tc>
        <w:tc>
          <w:tcPr>
            <w:tcW w:w="374" w:type="pct"/>
            <w:shd w:val="clear" w:color="auto" w:fill="auto"/>
            <w:noWrap/>
            <w:vAlign w:val="bottom"/>
            <w:hideMark/>
          </w:tcPr>
          <w:p w14:paraId="31E84C89" w14:textId="77777777" w:rsidR="00A14A03" w:rsidRPr="0019575B" w:rsidRDefault="00A14A03" w:rsidP="00AE2262">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-0.01</w:t>
            </w:r>
          </w:p>
        </w:tc>
        <w:tc>
          <w:tcPr>
            <w:tcW w:w="374" w:type="pct"/>
            <w:shd w:val="clear" w:color="auto" w:fill="auto"/>
            <w:noWrap/>
            <w:vAlign w:val="bottom"/>
            <w:hideMark/>
          </w:tcPr>
          <w:p w14:paraId="37CCF478" w14:textId="77777777" w:rsidR="00A14A03" w:rsidRPr="0019575B" w:rsidRDefault="00A14A03" w:rsidP="00AE2262">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330" w:type="pct"/>
            <w:shd w:val="clear" w:color="auto" w:fill="auto"/>
            <w:noWrap/>
            <w:vAlign w:val="bottom"/>
            <w:hideMark/>
          </w:tcPr>
          <w:p w14:paraId="4CCB6B1F" w14:textId="77777777" w:rsidR="00A14A03" w:rsidRPr="0019575B" w:rsidRDefault="00A14A03" w:rsidP="00AE2262">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-0.02</w:t>
            </w:r>
          </w:p>
        </w:tc>
        <w:tc>
          <w:tcPr>
            <w:tcW w:w="416" w:type="pct"/>
            <w:shd w:val="clear" w:color="auto" w:fill="auto"/>
            <w:noWrap/>
            <w:vAlign w:val="bottom"/>
            <w:hideMark/>
          </w:tcPr>
          <w:p w14:paraId="32D961B3" w14:textId="77777777" w:rsidR="00A14A03" w:rsidRPr="0019575B" w:rsidRDefault="00A14A03" w:rsidP="00AE2262">
            <w:pPr>
              <w:jc w:val="center"/>
              <w:rPr>
                <w:rFonts w:ascii="Times New Roman" w:eastAsia="Times New Roman" w:hAnsi="Times New Roman" w:cs="Times New Roman"/>
                <w:color w:val="000000"/>
                <w:sz w:val="20"/>
                <w:szCs w:val="20"/>
              </w:rPr>
            </w:pPr>
            <w:r w:rsidRPr="0019575B">
              <w:rPr>
                <w:rFonts w:ascii="Times New Roman" w:eastAsia="Times New Roman" w:hAnsi="Times New Roman" w:cs="Times New Roman"/>
                <w:color w:val="000000"/>
                <w:sz w:val="20"/>
                <w:szCs w:val="20"/>
              </w:rPr>
              <w:t>1.00</w:t>
            </w:r>
          </w:p>
        </w:tc>
        <w:tc>
          <w:tcPr>
            <w:tcW w:w="374" w:type="pct"/>
            <w:shd w:val="clear" w:color="auto" w:fill="auto"/>
            <w:noWrap/>
            <w:vAlign w:val="bottom"/>
            <w:hideMark/>
          </w:tcPr>
          <w:p w14:paraId="5885D6E9" w14:textId="77777777" w:rsidR="00A14A03" w:rsidRPr="0019575B" w:rsidRDefault="00A14A03" w:rsidP="00AE2262">
            <w:pPr>
              <w:jc w:val="center"/>
              <w:rPr>
                <w:rFonts w:ascii="Times New Roman" w:eastAsia="Times New Roman" w:hAnsi="Times New Roman" w:cs="Times New Roman"/>
                <w:color w:val="000000"/>
                <w:sz w:val="20"/>
                <w:szCs w:val="20"/>
              </w:rPr>
            </w:pPr>
          </w:p>
        </w:tc>
        <w:tc>
          <w:tcPr>
            <w:tcW w:w="344" w:type="pct"/>
            <w:shd w:val="clear" w:color="auto" w:fill="auto"/>
            <w:noWrap/>
            <w:vAlign w:val="bottom"/>
            <w:hideMark/>
          </w:tcPr>
          <w:p w14:paraId="21927C0B" w14:textId="77777777" w:rsidR="00A14A03" w:rsidRPr="0019575B" w:rsidRDefault="00A14A03" w:rsidP="00AE2262">
            <w:pPr>
              <w:jc w:val="center"/>
              <w:rPr>
                <w:rFonts w:ascii="Times New Roman" w:eastAsia="Times New Roman" w:hAnsi="Times New Roman" w:cs="Times New Roman"/>
                <w:color w:val="000000"/>
                <w:sz w:val="20"/>
                <w:szCs w:val="20"/>
              </w:rPr>
            </w:pPr>
          </w:p>
        </w:tc>
        <w:tc>
          <w:tcPr>
            <w:tcW w:w="403" w:type="pct"/>
            <w:shd w:val="clear" w:color="auto" w:fill="auto"/>
            <w:noWrap/>
            <w:vAlign w:val="bottom"/>
            <w:hideMark/>
          </w:tcPr>
          <w:p w14:paraId="0BAD6BD8" w14:textId="77777777" w:rsidR="00A14A03" w:rsidRPr="0019575B" w:rsidRDefault="00A14A03" w:rsidP="00AE2262">
            <w:pPr>
              <w:jc w:val="center"/>
              <w:rPr>
                <w:rFonts w:ascii="Times New Roman" w:eastAsia="Times New Roman" w:hAnsi="Times New Roman" w:cs="Times New Roman"/>
                <w:color w:val="000000"/>
                <w:sz w:val="20"/>
                <w:szCs w:val="20"/>
              </w:rPr>
            </w:pPr>
          </w:p>
        </w:tc>
        <w:tc>
          <w:tcPr>
            <w:tcW w:w="374" w:type="pct"/>
            <w:vAlign w:val="bottom"/>
          </w:tcPr>
          <w:p w14:paraId="170EF9A4" w14:textId="77777777" w:rsidR="00A14A03" w:rsidRPr="0019575B" w:rsidRDefault="00A14A03" w:rsidP="00AE2262">
            <w:pPr>
              <w:jc w:val="center"/>
              <w:rPr>
                <w:rFonts w:ascii="Times New Roman" w:eastAsia="Times New Roman" w:hAnsi="Times New Roman" w:cs="Times New Roman"/>
                <w:color w:val="000000"/>
                <w:sz w:val="20"/>
                <w:szCs w:val="20"/>
              </w:rPr>
            </w:pPr>
          </w:p>
        </w:tc>
      </w:tr>
      <w:tr w:rsidR="00A14A03" w:rsidRPr="0019575B" w14:paraId="55C8C612" w14:textId="77777777" w:rsidTr="00AE2262">
        <w:trPr>
          <w:trHeight w:val="300"/>
        </w:trPr>
        <w:tc>
          <w:tcPr>
            <w:tcW w:w="233" w:type="pct"/>
            <w:vAlign w:val="center"/>
          </w:tcPr>
          <w:p w14:paraId="6EE86032" w14:textId="77777777" w:rsidR="00A14A03" w:rsidRPr="0019575B" w:rsidRDefault="00A14A03" w:rsidP="00AE2262">
            <w:pPr>
              <w:jc w:val="center"/>
              <w:rPr>
                <w:rFonts w:ascii="Times New Roman" w:eastAsia="Times New Roman" w:hAnsi="Times New Roman" w:cs="Times New Roman"/>
                <w:color w:val="000000"/>
                <w:sz w:val="20"/>
                <w:szCs w:val="20"/>
              </w:rPr>
            </w:pPr>
            <w:r w:rsidRPr="0019575B">
              <w:rPr>
                <w:rFonts w:ascii="Times New Roman" w:eastAsia="Times New Roman" w:hAnsi="Times New Roman" w:cs="Times New Roman"/>
                <w:color w:val="000000"/>
                <w:sz w:val="20"/>
                <w:szCs w:val="20"/>
              </w:rPr>
              <w:t>6</w:t>
            </w:r>
          </w:p>
        </w:tc>
        <w:tc>
          <w:tcPr>
            <w:tcW w:w="1409" w:type="pct"/>
            <w:shd w:val="clear" w:color="auto" w:fill="auto"/>
            <w:noWrap/>
            <w:vAlign w:val="bottom"/>
            <w:hideMark/>
          </w:tcPr>
          <w:p w14:paraId="63BF57D9" w14:textId="77777777" w:rsidR="00A14A03" w:rsidRPr="0019575B" w:rsidRDefault="00A14A03" w:rsidP="00AE2262">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Total debt/assets</w:t>
            </w:r>
          </w:p>
        </w:tc>
        <w:tc>
          <w:tcPr>
            <w:tcW w:w="369" w:type="pct"/>
            <w:shd w:val="clear" w:color="auto" w:fill="auto"/>
            <w:noWrap/>
            <w:vAlign w:val="bottom"/>
            <w:hideMark/>
          </w:tcPr>
          <w:p w14:paraId="3E99F912" w14:textId="77777777" w:rsidR="00A14A03" w:rsidRPr="0019575B" w:rsidRDefault="00A14A03" w:rsidP="00AE2262">
            <w:pPr>
              <w:jc w:val="center"/>
              <w:rPr>
                <w:rFonts w:ascii="Times New Roman" w:eastAsia="Times New Roman" w:hAnsi="Times New Roman" w:cs="Times New Roman"/>
                <w:color w:val="000000"/>
                <w:sz w:val="20"/>
                <w:szCs w:val="20"/>
              </w:rPr>
            </w:pPr>
          </w:p>
        </w:tc>
        <w:tc>
          <w:tcPr>
            <w:tcW w:w="374" w:type="pct"/>
            <w:shd w:val="clear" w:color="auto" w:fill="auto"/>
            <w:noWrap/>
            <w:vAlign w:val="bottom"/>
            <w:hideMark/>
          </w:tcPr>
          <w:p w14:paraId="33F50E31" w14:textId="77777777" w:rsidR="00A14A03" w:rsidRPr="0019575B" w:rsidRDefault="00A14A03" w:rsidP="00AE2262">
            <w:pPr>
              <w:jc w:val="center"/>
              <w:rPr>
                <w:rFonts w:ascii="Times New Roman" w:eastAsia="Times New Roman" w:hAnsi="Times New Roman" w:cs="Times New Roman"/>
                <w:color w:val="000000"/>
                <w:sz w:val="20"/>
                <w:szCs w:val="20"/>
              </w:rPr>
            </w:pPr>
          </w:p>
        </w:tc>
        <w:tc>
          <w:tcPr>
            <w:tcW w:w="374" w:type="pct"/>
            <w:shd w:val="clear" w:color="auto" w:fill="auto"/>
            <w:noWrap/>
            <w:vAlign w:val="bottom"/>
            <w:hideMark/>
          </w:tcPr>
          <w:p w14:paraId="5B2E41CB" w14:textId="77777777" w:rsidR="00A14A03" w:rsidRPr="0019575B" w:rsidRDefault="00A14A03" w:rsidP="00AE2262">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0.01</w:t>
            </w:r>
          </w:p>
        </w:tc>
        <w:tc>
          <w:tcPr>
            <w:tcW w:w="330" w:type="pct"/>
            <w:shd w:val="clear" w:color="auto" w:fill="auto"/>
            <w:noWrap/>
            <w:vAlign w:val="bottom"/>
            <w:hideMark/>
          </w:tcPr>
          <w:p w14:paraId="189EFA57" w14:textId="77777777" w:rsidR="00A14A03" w:rsidRPr="0019575B" w:rsidRDefault="00A14A03" w:rsidP="00AE2262">
            <w:pPr>
              <w:jc w:val="center"/>
              <w:rPr>
                <w:rFonts w:ascii="Times New Roman" w:eastAsia="Times New Roman" w:hAnsi="Times New Roman" w:cs="Times New Roman"/>
                <w:color w:val="000000"/>
                <w:sz w:val="20"/>
                <w:szCs w:val="20"/>
              </w:rPr>
            </w:pPr>
            <w:r w:rsidRPr="0019575B">
              <w:rPr>
                <w:rFonts w:ascii="Times New Roman" w:eastAsia="Times New Roman" w:hAnsi="Times New Roman" w:cs="Times New Roman"/>
                <w:color w:val="000000"/>
                <w:sz w:val="20"/>
                <w:szCs w:val="20"/>
              </w:rPr>
              <w:t>-0.</w:t>
            </w:r>
            <w:r>
              <w:rPr>
                <w:rFonts w:ascii="Times New Roman" w:eastAsia="Times New Roman" w:hAnsi="Times New Roman" w:cs="Times New Roman"/>
                <w:color w:val="000000"/>
                <w:sz w:val="20"/>
                <w:szCs w:val="20"/>
              </w:rPr>
              <w:t>06</w:t>
            </w:r>
          </w:p>
        </w:tc>
        <w:tc>
          <w:tcPr>
            <w:tcW w:w="416" w:type="pct"/>
            <w:shd w:val="clear" w:color="auto" w:fill="auto"/>
            <w:noWrap/>
            <w:vAlign w:val="bottom"/>
            <w:hideMark/>
          </w:tcPr>
          <w:p w14:paraId="25F69D2B" w14:textId="77777777" w:rsidR="00A14A03" w:rsidRPr="0019575B" w:rsidRDefault="00A14A03" w:rsidP="00AE2262">
            <w:pPr>
              <w:jc w:val="center"/>
              <w:rPr>
                <w:rFonts w:ascii="Times New Roman" w:eastAsia="Times New Roman" w:hAnsi="Times New Roman" w:cs="Times New Roman"/>
                <w:color w:val="000000"/>
                <w:sz w:val="20"/>
                <w:szCs w:val="20"/>
              </w:rPr>
            </w:pPr>
          </w:p>
        </w:tc>
        <w:tc>
          <w:tcPr>
            <w:tcW w:w="374" w:type="pct"/>
            <w:shd w:val="clear" w:color="auto" w:fill="auto"/>
            <w:noWrap/>
            <w:vAlign w:val="bottom"/>
            <w:hideMark/>
          </w:tcPr>
          <w:p w14:paraId="00F851FE" w14:textId="77777777" w:rsidR="00A14A03" w:rsidRPr="0019575B" w:rsidRDefault="00A14A03" w:rsidP="00AE2262">
            <w:pPr>
              <w:jc w:val="center"/>
              <w:rPr>
                <w:rFonts w:ascii="Times New Roman" w:eastAsia="Times New Roman" w:hAnsi="Times New Roman" w:cs="Times New Roman"/>
                <w:color w:val="000000"/>
                <w:sz w:val="20"/>
                <w:szCs w:val="20"/>
              </w:rPr>
            </w:pPr>
            <w:r w:rsidRPr="0019575B">
              <w:rPr>
                <w:rFonts w:ascii="Times New Roman" w:eastAsia="Times New Roman" w:hAnsi="Times New Roman" w:cs="Times New Roman"/>
                <w:color w:val="000000"/>
                <w:sz w:val="20"/>
                <w:szCs w:val="20"/>
              </w:rPr>
              <w:t>1.00</w:t>
            </w:r>
          </w:p>
        </w:tc>
        <w:tc>
          <w:tcPr>
            <w:tcW w:w="344" w:type="pct"/>
            <w:shd w:val="clear" w:color="auto" w:fill="auto"/>
            <w:noWrap/>
            <w:vAlign w:val="bottom"/>
            <w:hideMark/>
          </w:tcPr>
          <w:p w14:paraId="516E28CE" w14:textId="77777777" w:rsidR="00A14A03" w:rsidRPr="0019575B" w:rsidRDefault="00A14A03" w:rsidP="00AE2262">
            <w:pPr>
              <w:jc w:val="center"/>
              <w:rPr>
                <w:rFonts w:ascii="Times New Roman" w:eastAsia="Times New Roman" w:hAnsi="Times New Roman" w:cs="Times New Roman"/>
                <w:color w:val="000000"/>
                <w:sz w:val="20"/>
                <w:szCs w:val="20"/>
              </w:rPr>
            </w:pPr>
          </w:p>
        </w:tc>
        <w:tc>
          <w:tcPr>
            <w:tcW w:w="403" w:type="pct"/>
            <w:shd w:val="clear" w:color="auto" w:fill="auto"/>
            <w:noWrap/>
            <w:vAlign w:val="bottom"/>
            <w:hideMark/>
          </w:tcPr>
          <w:p w14:paraId="0A205523" w14:textId="77777777" w:rsidR="00A14A03" w:rsidRPr="0019575B" w:rsidRDefault="00A14A03" w:rsidP="00AE2262">
            <w:pPr>
              <w:jc w:val="center"/>
              <w:rPr>
                <w:rFonts w:ascii="Times New Roman" w:eastAsia="Times New Roman" w:hAnsi="Times New Roman" w:cs="Times New Roman"/>
                <w:color w:val="000000"/>
                <w:sz w:val="20"/>
                <w:szCs w:val="20"/>
              </w:rPr>
            </w:pPr>
          </w:p>
        </w:tc>
        <w:tc>
          <w:tcPr>
            <w:tcW w:w="374" w:type="pct"/>
            <w:vAlign w:val="bottom"/>
          </w:tcPr>
          <w:p w14:paraId="156EC6AE" w14:textId="77777777" w:rsidR="00A14A03" w:rsidRPr="0019575B" w:rsidRDefault="00A14A03" w:rsidP="00AE2262">
            <w:pPr>
              <w:jc w:val="center"/>
              <w:rPr>
                <w:rFonts w:ascii="Times New Roman" w:eastAsia="Times New Roman" w:hAnsi="Times New Roman" w:cs="Times New Roman"/>
                <w:color w:val="000000"/>
                <w:sz w:val="20"/>
                <w:szCs w:val="20"/>
              </w:rPr>
            </w:pPr>
          </w:p>
        </w:tc>
      </w:tr>
      <w:tr w:rsidR="00A14A03" w:rsidRPr="0019575B" w14:paraId="5D0CBC98" w14:textId="77777777" w:rsidTr="00AE2262">
        <w:trPr>
          <w:trHeight w:val="300"/>
        </w:trPr>
        <w:tc>
          <w:tcPr>
            <w:tcW w:w="233" w:type="pct"/>
            <w:vAlign w:val="center"/>
          </w:tcPr>
          <w:p w14:paraId="1263779C" w14:textId="77777777" w:rsidR="00A14A03" w:rsidRPr="0019575B" w:rsidRDefault="00A14A03" w:rsidP="00AE2262">
            <w:pPr>
              <w:jc w:val="center"/>
              <w:rPr>
                <w:rFonts w:ascii="Times New Roman" w:eastAsia="Times New Roman" w:hAnsi="Times New Roman" w:cs="Times New Roman"/>
                <w:color w:val="000000"/>
                <w:sz w:val="20"/>
                <w:szCs w:val="20"/>
              </w:rPr>
            </w:pPr>
            <w:r w:rsidRPr="0019575B">
              <w:rPr>
                <w:rFonts w:ascii="Times New Roman" w:eastAsia="Times New Roman" w:hAnsi="Times New Roman" w:cs="Times New Roman"/>
                <w:color w:val="000000"/>
                <w:sz w:val="20"/>
                <w:szCs w:val="20"/>
              </w:rPr>
              <w:t>7</w:t>
            </w:r>
          </w:p>
        </w:tc>
        <w:tc>
          <w:tcPr>
            <w:tcW w:w="1409" w:type="pct"/>
            <w:shd w:val="clear" w:color="auto" w:fill="auto"/>
            <w:noWrap/>
            <w:vAlign w:val="bottom"/>
            <w:hideMark/>
          </w:tcPr>
          <w:p w14:paraId="0CF051B3" w14:textId="77777777" w:rsidR="00A14A03" w:rsidRPr="0019575B" w:rsidRDefault="00A14A03" w:rsidP="00AE2262">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Intangibles/assets</w:t>
            </w:r>
          </w:p>
        </w:tc>
        <w:tc>
          <w:tcPr>
            <w:tcW w:w="369" w:type="pct"/>
            <w:shd w:val="clear" w:color="auto" w:fill="auto"/>
            <w:noWrap/>
            <w:vAlign w:val="bottom"/>
            <w:hideMark/>
          </w:tcPr>
          <w:p w14:paraId="7A7AF214" w14:textId="77777777" w:rsidR="00A14A03" w:rsidRPr="0019575B" w:rsidRDefault="00A14A03" w:rsidP="00AE2262">
            <w:pPr>
              <w:jc w:val="center"/>
              <w:rPr>
                <w:rFonts w:ascii="Times New Roman" w:eastAsia="Times New Roman" w:hAnsi="Times New Roman" w:cs="Times New Roman"/>
                <w:color w:val="000000"/>
                <w:sz w:val="20"/>
                <w:szCs w:val="20"/>
              </w:rPr>
            </w:pPr>
          </w:p>
        </w:tc>
        <w:tc>
          <w:tcPr>
            <w:tcW w:w="374" w:type="pct"/>
            <w:shd w:val="clear" w:color="auto" w:fill="auto"/>
            <w:noWrap/>
            <w:vAlign w:val="bottom"/>
            <w:hideMark/>
          </w:tcPr>
          <w:p w14:paraId="59A5CFFE" w14:textId="77777777" w:rsidR="00A14A03" w:rsidRPr="0019575B" w:rsidRDefault="00A14A03" w:rsidP="00AE2262">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0.11</w:t>
            </w:r>
          </w:p>
        </w:tc>
        <w:tc>
          <w:tcPr>
            <w:tcW w:w="374" w:type="pct"/>
            <w:shd w:val="clear" w:color="auto" w:fill="auto"/>
            <w:noWrap/>
            <w:vAlign w:val="bottom"/>
            <w:hideMark/>
          </w:tcPr>
          <w:p w14:paraId="49291E50" w14:textId="77777777" w:rsidR="00A14A03" w:rsidRPr="0019575B" w:rsidRDefault="00A14A03" w:rsidP="00AE2262">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-0.01</w:t>
            </w:r>
          </w:p>
        </w:tc>
        <w:tc>
          <w:tcPr>
            <w:tcW w:w="330" w:type="pct"/>
            <w:shd w:val="clear" w:color="auto" w:fill="auto"/>
            <w:noWrap/>
            <w:vAlign w:val="bottom"/>
            <w:hideMark/>
          </w:tcPr>
          <w:p w14:paraId="497CB123" w14:textId="77777777" w:rsidR="00A14A03" w:rsidRPr="0019575B" w:rsidRDefault="00A14A03" w:rsidP="00AE2262">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0.11</w:t>
            </w:r>
          </w:p>
        </w:tc>
        <w:tc>
          <w:tcPr>
            <w:tcW w:w="416" w:type="pct"/>
            <w:shd w:val="clear" w:color="auto" w:fill="auto"/>
            <w:noWrap/>
            <w:vAlign w:val="bottom"/>
            <w:hideMark/>
          </w:tcPr>
          <w:p w14:paraId="4FA46FE5" w14:textId="77777777" w:rsidR="00A14A03" w:rsidRPr="0019575B" w:rsidRDefault="00A14A03" w:rsidP="00AE2262">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-0.03</w:t>
            </w:r>
          </w:p>
        </w:tc>
        <w:tc>
          <w:tcPr>
            <w:tcW w:w="374" w:type="pct"/>
            <w:shd w:val="clear" w:color="auto" w:fill="auto"/>
            <w:noWrap/>
            <w:vAlign w:val="bottom"/>
            <w:hideMark/>
          </w:tcPr>
          <w:p w14:paraId="72657868" w14:textId="77777777" w:rsidR="00A14A03" w:rsidRPr="0019575B" w:rsidRDefault="00A14A03" w:rsidP="00AE2262">
            <w:pPr>
              <w:jc w:val="center"/>
              <w:rPr>
                <w:rFonts w:ascii="Times New Roman" w:eastAsia="Times New Roman" w:hAnsi="Times New Roman" w:cs="Times New Roman"/>
                <w:color w:val="000000"/>
                <w:sz w:val="20"/>
                <w:szCs w:val="20"/>
              </w:rPr>
            </w:pPr>
            <w:r w:rsidRPr="0019575B">
              <w:rPr>
                <w:rFonts w:ascii="Times New Roman" w:eastAsia="Times New Roman" w:hAnsi="Times New Roman" w:cs="Times New Roman"/>
                <w:color w:val="000000"/>
                <w:sz w:val="20"/>
                <w:szCs w:val="20"/>
              </w:rPr>
              <w:t>-0.0</w:t>
            </w:r>
            <w:r>
              <w:rPr>
                <w:rFonts w:ascii="Times New Roman" w:eastAsia="Times New Roman" w:hAnsi="Times New Roman" w:cs="Times New Roman"/>
                <w:color w:val="000000"/>
                <w:sz w:val="20"/>
                <w:szCs w:val="20"/>
              </w:rPr>
              <w:t>1</w:t>
            </w:r>
          </w:p>
        </w:tc>
        <w:tc>
          <w:tcPr>
            <w:tcW w:w="344" w:type="pct"/>
            <w:shd w:val="clear" w:color="auto" w:fill="auto"/>
            <w:noWrap/>
            <w:vAlign w:val="bottom"/>
            <w:hideMark/>
          </w:tcPr>
          <w:p w14:paraId="39C93447" w14:textId="77777777" w:rsidR="00A14A03" w:rsidRPr="0019575B" w:rsidRDefault="00A14A03" w:rsidP="00AE2262">
            <w:pPr>
              <w:jc w:val="center"/>
              <w:rPr>
                <w:rFonts w:ascii="Times New Roman" w:eastAsia="Times New Roman" w:hAnsi="Times New Roman" w:cs="Times New Roman"/>
                <w:color w:val="000000"/>
                <w:sz w:val="20"/>
                <w:szCs w:val="20"/>
              </w:rPr>
            </w:pPr>
            <w:r w:rsidRPr="0019575B">
              <w:rPr>
                <w:rFonts w:ascii="Times New Roman" w:eastAsia="Times New Roman" w:hAnsi="Times New Roman" w:cs="Times New Roman"/>
                <w:color w:val="000000"/>
                <w:sz w:val="20"/>
                <w:szCs w:val="20"/>
              </w:rPr>
              <w:t>1.00</w:t>
            </w:r>
          </w:p>
        </w:tc>
        <w:tc>
          <w:tcPr>
            <w:tcW w:w="403" w:type="pct"/>
            <w:shd w:val="clear" w:color="auto" w:fill="auto"/>
            <w:noWrap/>
            <w:vAlign w:val="bottom"/>
            <w:hideMark/>
          </w:tcPr>
          <w:p w14:paraId="76E7636D" w14:textId="77777777" w:rsidR="00A14A03" w:rsidRPr="0019575B" w:rsidRDefault="00A14A03" w:rsidP="00AE2262">
            <w:pPr>
              <w:jc w:val="center"/>
              <w:rPr>
                <w:rFonts w:ascii="Times New Roman" w:eastAsia="Times New Roman" w:hAnsi="Times New Roman" w:cs="Times New Roman"/>
                <w:color w:val="000000"/>
                <w:sz w:val="20"/>
                <w:szCs w:val="20"/>
              </w:rPr>
            </w:pPr>
          </w:p>
        </w:tc>
        <w:tc>
          <w:tcPr>
            <w:tcW w:w="374" w:type="pct"/>
            <w:vAlign w:val="bottom"/>
          </w:tcPr>
          <w:p w14:paraId="25DE526C" w14:textId="77777777" w:rsidR="00A14A03" w:rsidRPr="0019575B" w:rsidRDefault="00A14A03" w:rsidP="00AE2262">
            <w:pPr>
              <w:jc w:val="center"/>
              <w:rPr>
                <w:rFonts w:ascii="Times New Roman" w:eastAsia="Times New Roman" w:hAnsi="Times New Roman" w:cs="Times New Roman"/>
                <w:color w:val="000000"/>
                <w:sz w:val="20"/>
                <w:szCs w:val="20"/>
              </w:rPr>
            </w:pPr>
          </w:p>
        </w:tc>
      </w:tr>
      <w:tr w:rsidR="00A14A03" w:rsidRPr="0019575B" w14:paraId="2D39FA6D" w14:textId="77777777" w:rsidTr="00AE2262">
        <w:trPr>
          <w:trHeight w:val="300"/>
        </w:trPr>
        <w:tc>
          <w:tcPr>
            <w:tcW w:w="233" w:type="pct"/>
            <w:vAlign w:val="center"/>
          </w:tcPr>
          <w:p w14:paraId="4CABF85F" w14:textId="77777777" w:rsidR="00A14A03" w:rsidRPr="0019575B" w:rsidRDefault="00A14A03" w:rsidP="00AE2262">
            <w:pPr>
              <w:jc w:val="center"/>
              <w:rPr>
                <w:rFonts w:ascii="Times New Roman" w:eastAsia="Times New Roman" w:hAnsi="Times New Roman" w:cs="Times New Roman"/>
                <w:color w:val="000000"/>
                <w:sz w:val="20"/>
                <w:szCs w:val="20"/>
              </w:rPr>
            </w:pPr>
            <w:r w:rsidRPr="0019575B">
              <w:rPr>
                <w:rFonts w:ascii="Times New Roman" w:eastAsia="Times New Roman" w:hAnsi="Times New Roman" w:cs="Times New Roman"/>
                <w:color w:val="000000"/>
                <w:sz w:val="20"/>
                <w:szCs w:val="20"/>
              </w:rPr>
              <w:t>8</w:t>
            </w:r>
          </w:p>
        </w:tc>
        <w:tc>
          <w:tcPr>
            <w:tcW w:w="1409" w:type="pct"/>
            <w:shd w:val="clear" w:color="auto" w:fill="auto"/>
            <w:noWrap/>
            <w:vAlign w:val="bottom"/>
            <w:hideMark/>
          </w:tcPr>
          <w:p w14:paraId="7C643697" w14:textId="77777777" w:rsidR="00A14A03" w:rsidRPr="0019575B" w:rsidRDefault="00A14A03" w:rsidP="00AE2262">
            <w:pPr>
              <w:rPr>
                <w:rFonts w:ascii="Times New Roman" w:eastAsia="Times New Roman" w:hAnsi="Times New Roman" w:cs="Times New Roman"/>
                <w:color w:val="000000"/>
                <w:sz w:val="20"/>
                <w:szCs w:val="20"/>
              </w:rPr>
            </w:pPr>
            <w:r w:rsidRPr="0019575B">
              <w:rPr>
                <w:rFonts w:ascii="Times New Roman" w:eastAsia="Times New Roman" w:hAnsi="Times New Roman" w:cs="Times New Roman"/>
                <w:color w:val="000000"/>
                <w:sz w:val="20"/>
                <w:szCs w:val="20"/>
              </w:rPr>
              <w:t>Return on equity</w:t>
            </w:r>
          </w:p>
        </w:tc>
        <w:tc>
          <w:tcPr>
            <w:tcW w:w="369" w:type="pct"/>
            <w:shd w:val="clear" w:color="auto" w:fill="auto"/>
            <w:noWrap/>
            <w:vAlign w:val="bottom"/>
            <w:hideMark/>
          </w:tcPr>
          <w:p w14:paraId="2B8F3625" w14:textId="77777777" w:rsidR="00A14A03" w:rsidRPr="0019575B" w:rsidRDefault="00A14A03" w:rsidP="00AE2262">
            <w:pPr>
              <w:jc w:val="center"/>
              <w:rPr>
                <w:rFonts w:ascii="Times New Roman" w:eastAsia="Times New Roman" w:hAnsi="Times New Roman" w:cs="Times New Roman"/>
                <w:color w:val="000000"/>
                <w:sz w:val="20"/>
                <w:szCs w:val="20"/>
              </w:rPr>
            </w:pPr>
          </w:p>
        </w:tc>
        <w:tc>
          <w:tcPr>
            <w:tcW w:w="374" w:type="pct"/>
            <w:shd w:val="clear" w:color="auto" w:fill="auto"/>
            <w:noWrap/>
            <w:vAlign w:val="bottom"/>
            <w:hideMark/>
          </w:tcPr>
          <w:p w14:paraId="301CE383" w14:textId="77777777" w:rsidR="00A14A03" w:rsidRPr="0019575B" w:rsidRDefault="00A14A03" w:rsidP="00AE2262">
            <w:pPr>
              <w:jc w:val="center"/>
              <w:rPr>
                <w:rFonts w:ascii="Times New Roman" w:eastAsia="Times New Roman" w:hAnsi="Times New Roman" w:cs="Times New Roman"/>
                <w:color w:val="000000"/>
                <w:sz w:val="20"/>
                <w:szCs w:val="20"/>
              </w:rPr>
            </w:pPr>
          </w:p>
        </w:tc>
        <w:tc>
          <w:tcPr>
            <w:tcW w:w="374" w:type="pct"/>
            <w:shd w:val="clear" w:color="auto" w:fill="auto"/>
            <w:noWrap/>
            <w:vAlign w:val="bottom"/>
            <w:hideMark/>
          </w:tcPr>
          <w:p w14:paraId="5F50E9A9" w14:textId="77777777" w:rsidR="00A14A03" w:rsidRPr="0019575B" w:rsidRDefault="00A14A03" w:rsidP="00AE2262">
            <w:pPr>
              <w:jc w:val="center"/>
              <w:rPr>
                <w:rFonts w:ascii="Times New Roman" w:eastAsia="Times New Roman" w:hAnsi="Times New Roman" w:cs="Times New Roman"/>
                <w:color w:val="000000"/>
                <w:sz w:val="20"/>
                <w:szCs w:val="20"/>
              </w:rPr>
            </w:pPr>
          </w:p>
        </w:tc>
        <w:tc>
          <w:tcPr>
            <w:tcW w:w="330" w:type="pct"/>
            <w:shd w:val="clear" w:color="auto" w:fill="auto"/>
            <w:noWrap/>
            <w:vAlign w:val="bottom"/>
            <w:hideMark/>
          </w:tcPr>
          <w:p w14:paraId="3E20E6C4" w14:textId="77777777" w:rsidR="00A14A03" w:rsidRPr="0019575B" w:rsidRDefault="00A14A03" w:rsidP="00AE2262">
            <w:pPr>
              <w:jc w:val="center"/>
              <w:rPr>
                <w:rFonts w:ascii="Times New Roman" w:eastAsia="Times New Roman" w:hAnsi="Times New Roman" w:cs="Times New Roman"/>
                <w:color w:val="000000"/>
                <w:sz w:val="20"/>
                <w:szCs w:val="20"/>
              </w:rPr>
            </w:pPr>
          </w:p>
        </w:tc>
        <w:tc>
          <w:tcPr>
            <w:tcW w:w="416" w:type="pct"/>
            <w:shd w:val="clear" w:color="auto" w:fill="auto"/>
            <w:noWrap/>
            <w:vAlign w:val="bottom"/>
            <w:hideMark/>
          </w:tcPr>
          <w:p w14:paraId="0F41B609" w14:textId="77777777" w:rsidR="00A14A03" w:rsidRPr="0019575B" w:rsidRDefault="00A14A03" w:rsidP="00AE2262">
            <w:pPr>
              <w:jc w:val="center"/>
              <w:rPr>
                <w:rFonts w:ascii="Times New Roman" w:eastAsia="Times New Roman" w:hAnsi="Times New Roman" w:cs="Times New Roman"/>
                <w:color w:val="000000"/>
                <w:sz w:val="20"/>
                <w:szCs w:val="20"/>
              </w:rPr>
            </w:pPr>
          </w:p>
        </w:tc>
        <w:tc>
          <w:tcPr>
            <w:tcW w:w="374" w:type="pct"/>
            <w:shd w:val="clear" w:color="auto" w:fill="auto"/>
            <w:noWrap/>
            <w:vAlign w:val="bottom"/>
            <w:hideMark/>
          </w:tcPr>
          <w:p w14:paraId="66F14006" w14:textId="77777777" w:rsidR="00A14A03" w:rsidRPr="0019575B" w:rsidRDefault="00A14A03" w:rsidP="00AE2262">
            <w:pPr>
              <w:jc w:val="center"/>
              <w:rPr>
                <w:rFonts w:ascii="Times New Roman" w:eastAsia="Times New Roman" w:hAnsi="Times New Roman" w:cs="Times New Roman"/>
                <w:color w:val="000000"/>
                <w:sz w:val="20"/>
                <w:szCs w:val="20"/>
              </w:rPr>
            </w:pPr>
          </w:p>
        </w:tc>
        <w:tc>
          <w:tcPr>
            <w:tcW w:w="344" w:type="pct"/>
            <w:shd w:val="clear" w:color="auto" w:fill="auto"/>
            <w:noWrap/>
            <w:vAlign w:val="bottom"/>
            <w:hideMark/>
          </w:tcPr>
          <w:p w14:paraId="50320E54" w14:textId="77777777" w:rsidR="00A14A03" w:rsidRPr="0019575B" w:rsidRDefault="00A14A03" w:rsidP="00AE2262">
            <w:pPr>
              <w:jc w:val="center"/>
              <w:rPr>
                <w:rFonts w:ascii="Times New Roman" w:eastAsia="Times New Roman" w:hAnsi="Times New Roman" w:cs="Times New Roman"/>
                <w:color w:val="000000"/>
                <w:sz w:val="20"/>
                <w:szCs w:val="20"/>
              </w:rPr>
            </w:pPr>
          </w:p>
        </w:tc>
        <w:tc>
          <w:tcPr>
            <w:tcW w:w="403" w:type="pct"/>
            <w:shd w:val="clear" w:color="auto" w:fill="auto"/>
            <w:noWrap/>
            <w:vAlign w:val="bottom"/>
            <w:hideMark/>
          </w:tcPr>
          <w:p w14:paraId="2B5C98CA" w14:textId="77777777" w:rsidR="00A14A03" w:rsidRPr="0019575B" w:rsidRDefault="00A14A03" w:rsidP="00AE2262">
            <w:pPr>
              <w:jc w:val="center"/>
              <w:rPr>
                <w:rFonts w:ascii="Times New Roman" w:eastAsia="Times New Roman" w:hAnsi="Times New Roman" w:cs="Times New Roman"/>
                <w:color w:val="000000"/>
                <w:sz w:val="20"/>
                <w:szCs w:val="20"/>
              </w:rPr>
            </w:pPr>
            <w:r w:rsidRPr="0019575B">
              <w:rPr>
                <w:rFonts w:ascii="Times New Roman" w:eastAsia="Times New Roman" w:hAnsi="Times New Roman" w:cs="Times New Roman"/>
                <w:color w:val="000000"/>
                <w:sz w:val="20"/>
                <w:szCs w:val="20"/>
              </w:rPr>
              <w:t>1.00</w:t>
            </w:r>
          </w:p>
        </w:tc>
        <w:tc>
          <w:tcPr>
            <w:tcW w:w="374" w:type="pct"/>
            <w:vAlign w:val="bottom"/>
          </w:tcPr>
          <w:p w14:paraId="1A5E42EB" w14:textId="77777777" w:rsidR="00A14A03" w:rsidRPr="0019575B" w:rsidRDefault="00A14A03" w:rsidP="00AE2262">
            <w:pPr>
              <w:jc w:val="center"/>
              <w:rPr>
                <w:rFonts w:ascii="Times New Roman" w:eastAsia="Times New Roman" w:hAnsi="Times New Roman" w:cs="Times New Roman"/>
                <w:color w:val="000000"/>
                <w:sz w:val="20"/>
                <w:szCs w:val="20"/>
              </w:rPr>
            </w:pPr>
          </w:p>
        </w:tc>
      </w:tr>
      <w:tr w:rsidR="00A14A03" w:rsidRPr="0019575B" w14:paraId="72666288" w14:textId="77777777" w:rsidTr="00AE2262">
        <w:trPr>
          <w:trHeight w:val="300"/>
        </w:trPr>
        <w:tc>
          <w:tcPr>
            <w:tcW w:w="233" w:type="pct"/>
            <w:vAlign w:val="center"/>
          </w:tcPr>
          <w:p w14:paraId="24490543" w14:textId="77777777" w:rsidR="00A14A03" w:rsidRPr="0019575B" w:rsidRDefault="00A14A03" w:rsidP="00AE2262">
            <w:pPr>
              <w:jc w:val="center"/>
              <w:rPr>
                <w:rFonts w:ascii="Times New Roman" w:eastAsia="Times New Roman" w:hAnsi="Times New Roman" w:cs="Times New Roman"/>
                <w:color w:val="000000"/>
                <w:sz w:val="20"/>
                <w:szCs w:val="20"/>
              </w:rPr>
            </w:pPr>
            <w:r w:rsidRPr="0019575B">
              <w:rPr>
                <w:rFonts w:ascii="Times New Roman" w:eastAsia="Times New Roman" w:hAnsi="Times New Roman" w:cs="Times New Roman"/>
                <w:color w:val="000000"/>
                <w:sz w:val="20"/>
                <w:szCs w:val="20"/>
              </w:rPr>
              <w:t>9</w:t>
            </w:r>
          </w:p>
        </w:tc>
        <w:tc>
          <w:tcPr>
            <w:tcW w:w="1409" w:type="pct"/>
            <w:shd w:val="clear" w:color="auto" w:fill="auto"/>
            <w:noWrap/>
            <w:vAlign w:val="bottom"/>
            <w:hideMark/>
          </w:tcPr>
          <w:p w14:paraId="205B90C4" w14:textId="77777777" w:rsidR="00A14A03" w:rsidRPr="0019575B" w:rsidRDefault="00A14A03" w:rsidP="00AE2262">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PPE/assets</w:t>
            </w:r>
          </w:p>
        </w:tc>
        <w:tc>
          <w:tcPr>
            <w:tcW w:w="369" w:type="pct"/>
            <w:shd w:val="clear" w:color="auto" w:fill="auto"/>
            <w:noWrap/>
            <w:vAlign w:val="bottom"/>
            <w:hideMark/>
          </w:tcPr>
          <w:p w14:paraId="73CD763B" w14:textId="77777777" w:rsidR="00A14A03" w:rsidRPr="0019575B" w:rsidRDefault="00A14A03" w:rsidP="00AE2262">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0.15</w:t>
            </w:r>
          </w:p>
        </w:tc>
        <w:tc>
          <w:tcPr>
            <w:tcW w:w="374" w:type="pct"/>
            <w:shd w:val="clear" w:color="auto" w:fill="auto"/>
            <w:noWrap/>
            <w:vAlign w:val="bottom"/>
            <w:hideMark/>
          </w:tcPr>
          <w:p w14:paraId="2C3DBD21" w14:textId="77777777" w:rsidR="00A14A03" w:rsidRPr="0019575B" w:rsidRDefault="00A14A03" w:rsidP="00AE2262">
            <w:pPr>
              <w:jc w:val="center"/>
              <w:rPr>
                <w:rFonts w:ascii="Times New Roman" w:eastAsia="Times New Roman" w:hAnsi="Times New Roman" w:cs="Times New Roman"/>
                <w:color w:val="000000"/>
                <w:sz w:val="20"/>
                <w:szCs w:val="20"/>
              </w:rPr>
            </w:pPr>
            <w:r w:rsidRPr="0019575B">
              <w:rPr>
                <w:rFonts w:ascii="Times New Roman" w:eastAsia="Times New Roman" w:hAnsi="Times New Roman" w:cs="Times New Roman"/>
                <w:color w:val="000000"/>
                <w:sz w:val="20"/>
                <w:szCs w:val="20"/>
              </w:rPr>
              <w:t>-0.0</w:t>
            </w:r>
            <w:r>
              <w:rPr>
                <w:rFonts w:ascii="Times New Roman" w:eastAsia="Times New Roman" w:hAnsi="Times New Roman" w:cs="Times New Roman"/>
                <w:color w:val="000000"/>
                <w:sz w:val="20"/>
                <w:szCs w:val="20"/>
              </w:rPr>
              <w:t>1</w:t>
            </w:r>
          </w:p>
        </w:tc>
        <w:tc>
          <w:tcPr>
            <w:tcW w:w="374" w:type="pct"/>
            <w:shd w:val="clear" w:color="auto" w:fill="auto"/>
            <w:noWrap/>
            <w:vAlign w:val="bottom"/>
            <w:hideMark/>
          </w:tcPr>
          <w:p w14:paraId="578D7307" w14:textId="77777777" w:rsidR="00A14A03" w:rsidRPr="0019575B" w:rsidRDefault="00A14A03" w:rsidP="00AE2262">
            <w:pPr>
              <w:jc w:val="center"/>
              <w:rPr>
                <w:rFonts w:ascii="Times New Roman" w:eastAsia="Times New Roman" w:hAnsi="Times New Roman" w:cs="Times New Roman"/>
                <w:color w:val="000000"/>
                <w:sz w:val="20"/>
                <w:szCs w:val="20"/>
              </w:rPr>
            </w:pPr>
          </w:p>
        </w:tc>
        <w:tc>
          <w:tcPr>
            <w:tcW w:w="330" w:type="pct"/>
            <w:shd w:val="clear" w:color="auto" w:fill="auto"/>
            <w:noWrap/>
            <w:vAlign w:val="bottom"/>
            <w:hideMark/>
          </w:tcPr>
          <w:p w14:paraId="6882BDCA" w14:textId="77777777" w:rsidR="00A14A03" w:rsidRPr="0019575B" w:rsidRDefault="00A14A03" w:rsidP="00AE2262">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r w:rsidRPr="0019575B">
              <w:rPr>
                <w:rFonts w:ascii="Times New Roman" w:eastAsia="Times New Roman" w:hAnsi="Times New Roman" w:cs="Times New Roman"/>
                <w:color w:val="000000"/>
                <w:sz w:val="20"/>
                <w:szCs w:val="20"/>
              </w:rPr>
              <w:t>0</w:t>
            </w:r>
            <w:r>
              <w:rPr>
                <w:rFonts w:ascii="Times New Roman" w:eastAsia="Times New Roman" w:hAnsi="Times New Roman" w:cs="Times New Roman"/>
                <w:color w:val="000000"/>
                <w:sz w:val="20"/>
                <w:szCs w:val="20"/>
              </w:rPr>
              <w:t>2</w:t>
            </w:r>
          </w:p>
        </w:tc>
        <w:tc>
          <w:tcPr>
            <w:tcW w:w="416" w:type="pct"/>
            <w:shd w:val="clear" w:color="auto" w:fill="auto"/>
            <w:noWrap/>
            <w:vAlign w:val="bottom"/>
            <w:hideMark/>
          </w:tcPr>
          <w:p w14:paraId="7AB7DDF3" w14:textId="77777777" w:rsidR="00A14A03" w:rsidRPr="0019575B" w:rsidRDefault="00A14A03" w:rsidP="00AE2262">
            <w:pPr>
              <w:jc w:val="center"/>
              <w:rPr>
                <w:rFonts w:ascii="Times New Roman" w:eastAsia="Times New Roman" w:hAnsi="Times New Roman" w:cs="Times New Roman"/>
                <w:color w:val="000000"/>
                <w:sz w:val="20"/>
                <w:szCs w:val="20"/>
              </w:rPr>
            </w:pPr>
          </w:p>
        </w:tc>
        <w:tc>
          <w:tcPr>
            <w:tcW w:w="374" w:type="pct"/>
            <w:shd w:val="clear" w:color="auto" w:fill="auto"/>
            <w:noWrap/>
            <w:vAlign w:val="bottom"/>
            <w:hideMark/>
          </w:tcPr>
          <w:p w14:paraId="7ACA9EDF" w14:textId="77777777" w:rsidR="00A14A03" w:rsidRPr="0019575B" w:rsidRDefault="00A14A03" w:rsidP="00AE2262">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0.07</w:t>
            </w:r>
          </w:p>
        </w:tc>
        <w:tc>
          <w:tcPr>
            <w:tcW w:w="344" w:type="pct"/>
            <w:shd w:val="clear" w:color="auto" w:fill="auto"/>
            <w:noWrap/>
            <w:vAlign w:val="bottom"/>
            <w:hideMark/>
          </w:tcPr>
          <w:p w14:paraId="4A3DCAEB" w14:textId="77777777" w:rsidR="00A14A03" w:rsidRPr="0019575B" w:rsidRDefault="00A14A03" w:rsidP="00AE2262">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-0.03</w:t>
            </w:r>
          </w:p>
        </w:tc>
        <w:tc>
          <w:tcPr>
            <w:tcW w:w="403" w:type="pct"/>
            <w:shd w:val="clear" w:color="auto" w:fill="auto"/>
            <w:noWrap/>
            <w:vAlign w:val="bottom"/>
            <w:hideMark/>
          </w:tcPr>
          <w:p w14:paraId="3F9E8797" w14:textId="77777777" w:rsidR="00A14A03" w:rsidRPr="0019575B" w:rsidRDefault="00A14A03" w:rsidP="00AE2262">
            <w:pPr>
              <w:jc w:val="center"/>
              <w:rPr>
                <w:rFonts w:ascii="Times New Roman" w:eastAsia="Times New Roman" w:hAnsi="Times New Roman" w:cs="Times New Roman"/>
                <w:color w:val="000000"/>
                <w:sz w:val="20"/>
                <w:szCs w:val="20"/>
              </w:rPr>
            </w:pPr>
          </w:p>
        </w:tc>
        <w:tc>
          <w:tcPr>
            <w:tcW w:w="374" w:type="pct"/>
            <w:vAlign w:val="bottom"/>
          </w:tcPr>
          <w:p w14:paraId="3FC48D1D" w14:textId="77777777" w:rsidR="00A14A03" w:rsidRPr="0019575B" w:rsidRDefault="00A14A03" w:rsidP="00AE2262">
            <w:pPr>
              <w:jc w:val="center"/>
              <w:rPr>
                <w:rFonts w:ascii="Times New Roman" w:eastAsia="Times New Roman" w:hAnsi="Times New Roman" w:cs="Times New Roman"/>
                <w:color w:val="000000"/>
                <w:sz w:val="20"/>
                <w:szCs w:val="20"/>
              </w:rPr>
            </w:pPr>
            <w:r w:rsidRPr="0019575B">
              <w:rPr>
                <w:rFonts w:ascii="Times New Roman" w:eastAsia="Times New Roman" w:hAnsi="Times New Roman" w:cs="Times New Roman"/>
                <w:color w:val="000000"/>
                <w:sz w:val="20"/>
                <w:szCs w:val="20"/>
              </w:rPr>
              <w:t>1.00</w:t>
            </w:r>
          </w:p>
        </w:tc>
      </w:tr>
    </w:tbl>
    <w:p w14:paraId="5CDEE2CE" w14:textId="77777777" w:rsidR="00A14A03" w:rsidRPr="0019575B" w:rsidRDefault="00A14A03" w:rsidP="00A14A03">
      <w:pPr>
        <w:spacing w:after="200" w:line="276" w:lineRule="auto"/>
        <w:rPr>
          <w:rFonts w:ascii="Calibri" w:eastAsia="Calibri" w:hAnsi="Calibri" w:cs="Times New Roman"/>
          <w:sz w:val="22"/>
          <w:szCs w:val="22"/>
        </w:rPr>
      </w:pPr>
    </w:p>
    <w:p w14:paraId="6DAFEC26" w14:textId="77777777" w:rsidR="00A14A03" w:rsidRPr="00062EAD" w:rsidRDefault="00A14A03" w:rsidP="00A14A03">
      <w:pPr>
        <w:spacing w:after="200" w:line="276" w:lineRule="auto"/>
        <w:rPr>
          <w:rFonts w:ascii="Times New Roman" w:eastAsia="Times New Roman" w:hAnsi="Times New Roman" w:cs="Times New Roman"/>
          <w:color w:val="000000"/>
          <w:sz w:val="22"/>
          <w:szCs w:val="22"/>
          <w:shd w:val="clear" w:color="auto" w:fill="FFFFFF"/>
        </w:rPr>
      </w:pPr>
    </w:p>
    <w:p w14:paraId="11035C8D" w14:textId="77777777" w:rsidR="00A14A03" w:rsidRPr="00062EAD" w:rsidRDefault="00A14A03" w:rsidP="00A14A03">
      <w:pPr>
        <w:spacing w:after="200" w:line="276" w:lineRule="auto"/>
        <w:rPr>
          <w:rFonts w:ascii="Times New Roman" w:eastAsia="Times New Roman" w:hAnsi="Times New Roman" w:cs="Times New Roman"/>
          <w:color w:val="000000"/>
          <w:sz w:val="22"/>
          <w:szCs w:val="22"/>
          <w:shd w:val="clear" w:color="auto" w:fill="FFFFFF"/>
        </w:rPr>
      </w:pPr>
    </w:p>
    <w:p w14:paraId="490252AE" w14:textId="77777777" w:rsidR="00A14A03" w:rsidRPr="00062EAD" w:rsidRDefault="00A14A03" w:rsidP="00A14A03">
      <w:pPr>
        <w:spacing w:after="200" w:line="276" w:lineRule="auto"/>
        <w:rPr>
          <w:rFonts w:ascii="Times New Roman" w:eastAsia="Times New Roman" w:hAnsi="Times New Roman" w:cs="Times New Roman"/>
          <w:color w:val="000000"/>
          <w:sz w:val="22"/>
          <w:szCs w:val="22"/>
          <w:shd w:val="clear" w:color="auto" w:fill="FFFFFF"/>
        </w:rPr>
      </w:pPr>
    </w:p>
    <w:p w14:paraId="792AC5A8" w14:textId="77777777" w:rsidR="00A14A03" w:rsidRPr="00062EAD" w:rsidRDefault="00A14A03" w:rsidP="00A14A03">
      <w:pPr>
        <w:spacing w:after="200" w:line="276" w:lineRule="auto"/>
        <w:rPr>
          <w:rFonts w:ascii="Times New Roman" w:eastAsia="Times New Roman" w:hAnsi="Times New Roman" w:cs="Times New Roman"/>
          <w:color w:val="000000"/>
          <w:sz w:val="22"/>
          <w:szCs w:val="22"/>
          <w:shd w:val="clear" w:color="auto" w:fill="FFFFFF"/>
        </w:rPr>
      </w:pPr>
    </w:p>
    <w:p w14:paraId="78EDC62C" w14:textId="77777777" w:rsidR="00A14A03" w:rsidRPr="00062EAD" w:rsidRDefault="00A14A03" w:rsidP="00A14A03">
      <w:pPr>
        <w:spacing w:after="200" w:line="276" w:lineRule="auto"/>
        <w:rPr>
          <w:rFonts w:ascii="Times New Roman" w:eastAsia="Times New Roman" w:hAnsi="Times New Roman" w:cs="Times New Roman"/>
          <w:color w:val="000000"/>
          <w:sz w:val="22"/>
          <w:szCs w:val="22"/>
          <w:shd w:val="clear" w:color="auto" w:fill="FFFFFF"/>
        </w:rPr>
      </w:pPr>
    </w:p>
    <w:p w14:paraId="54D887D6" w14:textId="77777777" w:rsidR="00A14A03" w:rsidRPr="00062EAD" w:rsidRDefault="00A14A03" w:rsidP="00A14A03">
      <w:pPr>
        <w:spacing w:after="200" w:line="276" w:lineRule="auto"/>
        <w:rPr>
          <w:rFonts w:ascii="Times New Roman" w:eastAsia="Times New Roman" w:hAnsi="Times New Roman" w:cs="Times New Roman"/>
          <w:color w:val="000000"/>
          <w:sz w:val="22"/>
          <w:szCs w:val="22"/>
          <w:shd w:val="clear" w:color="auto" w:fill="FFFFFF"/>
        </w:rPr>
      </w:pPr>
    </w:p>
    <w:p w14:paraId="11DFEE58" w14:textId="77777777" w:rsidR="00A14A03" w:rsidRPr="00062EAD" w:rsidRDefault="00A14A03" w:rsidP="00A14A03">
      <w:pPr>
        <w:spacing w:after="200" w:line="276" w:lineRule="auto"/>
        <w:rPr>
          <w:rFonts w:ascii="Times New Roman" w:eastAsia="Times New Roman" w:hAnsi="Times New Roman" w:cs="Times New Roman"/>
          <w:color w:val="000000"/>
          <w:sz w:val="22"/>
          <w:szCs w:val="22"/>
          <w:shd w:val="clear" w:color="auto" w:fill="FFFFFF"/>
        </w:rPr>
      </w:pPr>
    </w:p>
    <w:p w14:paraId="56C75207" w14:textId="77777777" w:rsidR="00A14A03" w:rsidRPr="00062EAD" w:rsidRDefault="00A14A03" w:rsidP="00A14A03">
      <w:pPr>
        <w:spacing w:after="200" w:line="276" w:lineRule="auto"/>
        <w:rPr>
          <w:rFonts w:ascii="Times New Roman" w:eastAsia="Times New Roman" w:hAnsi="Times New Roman" w:cs="Times New Roman"/>
          <w:color w:val="000000"/>
          <w:sz w:val="22"/>
          <w:szCs w:val="22"/>
          <w:shd w:val="clear" w:color="auto" w:fill="FFFFFF"/>
        </w:rPr>
      </w:pPr>
    </w:p>
    <w:p w14:paraId="37A2A8E4" w14:textId="77777777" w:rsidR="00A14A03" w:rsidRPr="00062EAD" w:rsidRDefault="00A14A03" w:rsidP="00A14A03">
      <w:pPr>
        <w:spacing w:after="200" w:line="276" w:lineRule="auto"/>
        <w:rPr>
          <w:rFonts w:ascii="Times New Roman" w:eastAsia="Times New Roman" w:hAnsi="Times New Roman" w:cs="Times New Roman"/>
          <w:color w:val="000000"/>
          <w:sz w:val="22"/>
          <w:szCs w:val="22"/>
          <w:shd w:val="clear" w:color="auto" w:fill="FFFFFF"/>
        </w:rPr>
      </w:pPr>
    </w:p>
    <w:p w14:paraId="7635FE34" w14:textId="77777777" w:rsidR="00A14A03" w:rsidRDefault="00A14A03" w:rsidP="00A14A03">
      <w:pPr>
        <w:rPr>
          <w:rFonts w:ascii="Times New Roman" w:hAnsi="Times New Roman" w:cs="Times New Roman"/>
          <w:b/>
        </w:rPr>
      </w:pPr>
      <w:r>
        <w:rPr>
          <w:rFonts w:ascii="Times New Roman" w:hAnsi="Times New Roman" w:cs="Times New Roman"/>
          <w:b/>
        </w:rPr>
        <w:br w:type="page"/>
      </w:r>
    </w:p>
    <w:p w14:paraId="106606C2" w14:textId="77777777" w:rsidR="00A14A03" w:rsidRDefault="00A14A03" w:rsidP="00A14A03">
      <w:pPr>
        <w:rPr>
          <w:rFonts w:ascii="Times New Roman" w:hAnsi="Times New Roman" w:cs="Times New Roman"/>
          <w:b/>
        </w:rPr>
      </w:pPr>
      <w:r>
        <w:rPr>
          <w:rFonts w:ascii="Times New Roman" w:hAnsi="Times New Roman" w:cs="Times New Roman"/>
          <w:b/>
        </w:rPr>
        <w:lastRenderedPageBreak/>
        <w:t>Table 4</w:t>
      </w:r>
    </w:p>
    <w:p w14:paraId="351DE950" w14:textId="77777777" w:rsidR="00A14A03" w:rsidRPr="00E339E4" w:rsidRDefault="00A14A03" w:rsidP="00A14A03">
      <w:pPr>
        <w:rPr>
          <w:rFonts w:ascii="Times New Roman" w:hAnsi="Times New Roman" w:cs="Times New Roman"/>
          <w:b/>
        </w:rPr>
      </w:pPr>
      <w:r w:rsidRPr="00E339E4">
        <w:rPr>
          <w:rFonts w:ascii="Times New Roman" w:hAnsi="Times New Roman" w:cs="Times New Roman"/>
          <w:b/>
        </w:rPr>
        <w:t>Regression Results for Lobbying</w:t>
      </w:r>
    </w:p>
    <w:p w14:paraId="578C7BAD" w14:textId="77777777" w:rsidR="00A14A03" w:rsidRPr="007A5E01" w:rsidRDefault="00A14A03" w:rsidP="00A14A03">
      <w:pPr>
        <w:rPr>
          <w:rFonts w:ascii="Times New Roman" w:hAnsi="Times New Roman" w:cs="Times New Roman"/>
        </w:rPr>
      </w:pPr>
    </w:p>
    <w:p w14:paraId="43717EFA" w14:textId="77777777" w:rsidR="00A14A03" w:rsidRPr="00062EAD" w:rsidRDefault="00A14A03" w:rsidP="00A14A03">
      <w:pPr>
        <w:rPr>
          <w:rFonts w:ascii="Times New Roman" w:hAnsi="Times New Roman" w:cs="Times New Roman"/>
          <w:sz w:val="22"/>
          <w:szCs w:val="22"/>
        </w:rPr>
      </w:pPr>
    </w:p>
    <w:tbl>
      <w:tblPr>
        <w:tblW w:w="85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50"/>
        <w:gridCol w:w="1740"/>
        <w:gridCol w:w="1830"/>
        <w:gridCol w:w="1830"/>
      </w:tblGrid>
      <w:tr w:rsidR="00A14A03" w:rsidRPr="00062EAD" w14:paraId="245CE142" w14:textId="77777777" w:rsidTr="00AE2262">
        <w:trPr>
          <w:trHeight w:val="269"/>
        </w:trPr>
        <w:tc>
          <w:tcPr>
            <w:tcW w:w="3150" w:type="dxa"/>
            <w:tcBorders>
              <w:top w:val="single" w:sz="4" w:space="0" w:color="auto"/>
              <w:left w:val="nil"/>
              <w:bottom w:val="single" w:sz="4" w:space="0" w:color="auto"/>
              <w:right w:val="nil"/>
            </w:tcBorders>
            <w:shd w:val="clear" w:color="auto" w:fill="auto"/>
            <w:vAlign w:val="center"/>
          </w:tcPr>
          <w:p w14:paraId="74212292" w14:textId="77777777" w:rsidR="00A14A03" w:rsidRPr="00062EAD" w:rsidRDefault="00A14A03" w:rsidP="00AE2262">
            <w:pPr>
              <w:ind w:hanging="90"/>
              <w:jc w:val="center"/>
              <w:rPr>
                <w:rFonts w:ascii="Times New Roman" w:eastAsia="Calibri" w:hAnsi="Times New Roman" w:cs="Times New Roman"/>
                <w:sz w:val="22"/>
                <w:szCs w:val="22"/>
              </w:rPr>
            </w:pPr>
          </w:p>
        </w:tc>
        <w:tc>
          <w:tcPr>
            <w:tcW w:w="5400" w:type="dxa"/>
            <w:gridSpan w:val="3"/>
            <w:tcBorders>
              <w:top w:val="single" w:sz="4" w:space="0" w:color="auto"/>
              <w:left w:val="nil"/>
              <w:bottom w:val="single" w:sz="4" w:space="0" w:color="auto"/>
              <w:right w:val="nil"/>
            </w:tcBorders>
          </w:tcPr>
          <w:p w14:paraId="36382E81" w14:textId="77777777" w:rsidR="00A14A03" w:rsidRPr="00062EAD" w:rsidRDefault="00A14A03" w:rsidP="00AE2262">
            <w:pPr>
              <w:jc w:val="center"/>
              <w:rPr>
                <w:rFonts w:ascii="Times New Roman" w:eastAsia="Calibri" w:hAnsi="Times New Roman" w:cs="Times New Roman"/>
                <w:sz w:val="22"/>
                <w:szCs w:val="22"/>
              </w:rPr>
            </w:pPr>
            <w:r w:rsidRPr="00062EAD">
              <w:rPr>
                <w:rFonts w:ascii="Times New Roman" w:eastAsia="Calibri" w:hAnsi="Times New Roman" w:cs="Times New Roman"/>
                <w:sz w:val="22"/>
                <w:szCs w:val="22"/>
              </w:rPr>
              <w:t>Dependent variable: Lobbying</w:t>
            </w:r>
          </w:p>
        </w:tc>
      </w:tr>
      <w:tr w:rsidR="00A14A03" w:rsidRPr="00062EAD" w14:paraId="1F97D39A" w14:textId="77777777" w:rsidTr="00AE2262">
        <w:tc>
          <w:tcPr>
            <w:tcW w:w="3150" w:type="dxa"/>
            <w:tcBorders>
              <w:top w:val="nil"/>
              <w:left w:val="nil"/>
              <w:bottom w:val="nil"/>
              <w:right w:val="nil"/>
            </w:tcBorders>
            <w:shd w:val="clear" w:color="auto" w:fill="auto"/>
            <w:hideMark/>
          </w:tcPr>
          <w:p w14:paraId="1A3A6504" w14:textId="77777777" w:rsidR="00A14A03" w:rsidRPr="00062EAD" w:rsidRDefault="00A14A03" w:rsidP="00AE2262">
            <w:pPr>
              <w:ind w:left="-36" w:right="-108" w:hanging="54"/>
              <w:rPr>
                <w:rFonts w:ascii="Times New Roman" w:eastAsia="Calibri" w:hAnsi="Times New Roman" w:cs="Times New Roman"/>
                <w:sz w:val="22"/>
                <w:szCs w:val="22"/>
                <w:vertAlign w:val="subscript"/>
              </w:rPr>
            </w:pPr>
            <w:r w:rsidRPr="00062EAD">
              <w:rPr>
                <w:rFonts w:ascii="Times New Roman" w:eastAsia="Calibri" w:hAnsi="Times New Roman" w:cs="Times New Roman"/>
                <w:sz w:val="22"/>
                <w:szCs w:val="22"/>
              </w:rPr>
              <w:t>VC backed</w:t>
            </w:r>
          </w:p>
        </w:tc>
        <w:tc>
          <w:tcPr>
            <w:tcW w:w="1740" w:type="dxa"/>
            <w:tcBorders>
              <w:top w:val="nil"/>
              <w:left w:val="nil"/>
              <w:bottom w:val="nil"/>
              <w:right w:val="nil"/>
            </w:tcBorders>
          </w:tcPr>
          <w:p w14:paraId="4D41FB3B" w14:textId="77777777" w:rsidR="00A14A03" w:rsidRPr="00062EAD" w:rsidRDefault="00A14A03" w:rsidP="00AE2262">
            <w:pPr>
              <w:jc w:val="center"/>
              <w:rPr>
                <w:rFonts w:ascii="Times New Roman" w:eastAsia="Calibri" w:hAnsi="Times New Roman" w:cs="Times New Roman"/>
                <w:sz w:val="22"/>
                <w:szCs w:val="22"/>
              </w:rPr>
            </w:pPr>
            <w:r w:rsidRPr="00062EAD">
              <w:rPr>
                <w:rFonts w:ascii="Times New Roman" w:eastAsia="Calibri" w:hAnsi="Times New Roman" w:cs="Times New Roman"/>
                <w:sz w:val="22"/>
                <w:szCs w:val="22"/>
              </w:rPr>
              <w:t>-954.501.6***</w:t>
            </w:r>
          </w:p>
          <w:p w14:paraId="774FE9C9" w14:textId="77777777" w:rsidR="00A14A03" w:rsidRPr="00062EAD" w:rsidRDefault="00A14A03" w:rsidP="00AE2262">
            <w:pPr>
              <w:jc w:val="center"/>
              <w:rPr>
                <w:rFonts w:ascii="Times New Roman" w:eastAsia="Calibri" w:hAnsi="Times New Roman" w:cs="Times New Roman"/>
                <w:sz w:val="22"/>
                <w:szCs w:val="22"/>
              </w:rPr>
            </w:pPr>
            <w:r w:rsidRPr="00062EAD">
              <w:rPr>
                <w:rFonts w:ascii="Times New Roman" w:eastAsia="Calibri" w:hAnsi="Times New Roman" w:cs="Times New Roman"/>
                <w:sz w:val="22"/>
                <w:szCs w:val="22"/>
              </w:rPr>
              <w:t>(0.00)</w:t>
            </w:r>
          </w:p>
        </w:tc>
        <w:tc>
          <w:tcPr>
            <w:tcW w:w="1830" w:type="dxa"/>
            <w:tcBorders>
              <w:top w:val="nil"/>
              <w:left w:val="nil"/>
              <w:bottom w:val="nil"/>
              <w:right w:val="nil"/>
            </w:tcBorders>
          </w:tcPr>
          <w:p w14:paraId="4FC8BEAD" w14:textId="77777777" w:rsidR="00A14A03" w:rsidRPr="00062EAD" w:rsidRDefault="00A14A03" w:rsidP="00AE2262">
            <w:pPr>
              <w:jc w:val="center"/>
              <w:rPr>
                <w:rFonts w:ascii="Times New Roman" w:eastAsia="Calibri" w:hAnsi="Times New Roman" w:cs="Times New Roman"/>
                <w:sz w:val="22"/>
                <w:szCs w:val="22"/>
              </w:rPr>
            </w:pPr>
            <w:r w:rsidRPr="00062EAD">
              <w:rPr>
                <w:rFonts w:ascii="Times New Roman" w:eastAsia="Calibri" w:hAnsi="Times New Roman" w:cs="Times New Roman"/>
                <w:sz w:val="22"/>
                <w:szCs w:val="22"/>
              </w:rPr>
              <w:t>-264,062.2***</w:t>
            </w:r>
          </w:p>
          <w:p w14:paraId="6347DA06" w14:textId="77777777" w:rsidR="00A14A03" w:rsidRPr="00062EAD" w:rsidRDefault="00A14A03" w:rsidP="00AE2262">
            <w:pPr>
              <w:jc w:val="center"/>
              <w:rPr>
                <w:rFonts w:ascii="Times New Roman" w:eastAsia="Calibri" w:hAnsi="Times New Roman" w:cs="Times New Roman"/>
                <w:sz w:val="22"/>
                <w:szCs w:val="22"/>
              </w:rPr>
            </w:pPr>
            <w:r w:rsidRPr="00062EAD">
              <w:rPr>
                <w:rFonts w:ascii="Times New Roman" w:eastAsia="Calibri" w:hAnsi="Times New Roman" w:cs="Times New Roman"/>
                <w:sz w:val="22"/>
                <w:szCs w:val="22"/>
              </w:rPr>
              <w:t>(0.00)</w:t>
            </w:r>
          </w:p>
        </w:tc>
        <w:tc>
          <w:tcPr>
            <w:tcW w:w="1830" w:type="dxa"/>
            <w:tcBorders>
              <w:top w:val="nil"/>
              <w:left w:val="nil"/>
              <w:bottom w:val="nil"/>
              <w:right w:val="nil"/>
            </w:tcBorders>
          </w:tcPr>
          <w:p w14:paraId="5683F697" w14:textId="77777777" w:rsidR="00A14A03" w:rsidRPr="00062EAD" w:rsidRDefault="00A14A03" w:rsidP="00AE2262">
            <w:pPr>
              <w:rPr>
                <w:rFonts w:ascii="Times New Roman" w:eastAsia="Calibri" w:hAnsi="Times New Roman" w:cs="Times New Roman"/>
                <w:sz w:val="22"/>
                <w:szCs w:val="22"/>
              </w:rPr>
            </w:pPr>
          </w:p>
        </w:tc>
      </w:tr>
      <w:tr w:rsidR="00A14A03" w:rsidRPr="00062EAD" w14:paraId="3819F33D" w14:textId="77777777" w:rsidTr="00AE2262">
        <w:tc>
          <w:tcPr>
            <w:tcW w:w="3150" w:type="dxa"/>
            <w:tcBorders>
              <w:top w:val="nil"/>
              <w:left w:val="nil"/>
              <w:bottom w:val="nil"/>
              <w:right w:val="nil"/>
            </w:tcBorders>
            <w:shd w:val="clear" w:color="auto" w:fill="auto"/>
          </w:tcPr>
          <w:p w14:paraId="1E9D7F22" w14:textId="77777777" w:rsidR="00A14A03" w:rsidRPr="00062EAD" w:rsidRDefault="00A14A03" w:rsidP="00AE2262">
            <w:pPr>
              <w:ind w:left="-36" w:right="-108" w:hanging="54"/>
              <w:jc w:val="both"/>
              <w:rPr>
                <w:rFonts w:ascii="Times New Roman" w:eastAsia="Calibri" w:hAnsi="Times New Roman" w:cs="Times New Roman"/>
                <w:sz w:val="22"/>
                <w:szCs w:val="22"/>
              </w:rPr>
            </w:pPr>
            <w:r w:rsidRPr="00062EAD">
              <w:rPr>
                <w:rFonts w:ascii="Times New Roman" w:eastAsia="Calibri" w:hAnsi="Times New Roman" w:cs="Times New Roman"/>
                <w:sz w:val="22"/>
                <w:szCs w:val="22"/>
              </w:rPr>
              <w:t xml:space="preserve">R&amp;D/Sales  </w:t>
            </w:r>
          </w:p>
        </w:tc>
        <w:tc>
          <w:tcPr>
            <w:tcW w:w="1740" w:type="dxa"/>
            <w:tcBorders>
              <w:top w:val="nil"/>
              <w:left w:val="nil"/>
              <w:bottom w:val="nil"/>
              <w:right w:val="nil"/>
            </w:tcBorders>
          </w:tcPr>
          <w:p w14:paraId="1B22FA12" w14:textId="77777777" w:rsidR="00A14A03" w:rsidRPr="00062EAD" w:rsidRDefault="00A14A03" w:rsidP="00AE2262">
            <w:pPr>
              <w:jc w:val="center"/>
              <w:rPr>
                <w:rFonts w:ascii="Times New Roman" w:eastAsia="Calibri" w:hAnsi="Times New Roman" w:cs="Times New Roman"/>
                <w:sz w:val="22"/>
                <w:szCs w:val="22"/>
              </w:rPr>
            </w:pPr>
            <w:r w:rsidRPr="00062EAD">
              <w:rPr>
                <w:rFonts w:ascii="Times New Roman" w:eastAsia="Calibri" w:hAnsi="Times New Roman" w:cs="Times New Roman"/>
                <w:sz w:val="22"/>
                <w:szCs w:val="22"/>
              </w:rPr>
              <w:t>-305.9</w:t>
            </w:r>
          </w:p>
          <w:p w14:paraId="27E0394A" w14:textId="77777777" w:rsidR="00A14A03" w:rsidRPr="00062EAD" w:rsidRDefault="00A14A03" w:rsidP="00AE2262">
            <w:pPr>
              <w:jc w:val="center"/>
              <w:rPr>
                <w:rFonts w:ascii="Times New Roman" w:eastAsia="Calibri" w:hAnsi="Times New Roman" w:cs="Times New Roman"/>
                <w:sz w:val="22"/>
                <w:szCs w:val="22"/>
              </w:rPr>
            </w:pPr>
            <w:r w:rsidRPr="00062EAD">
              <w:rPr>
                <w:rFonts w:ascii="Times New Roman" w:eastAsia="Calibri" w:hAnsi="Times New Roman" w:cs="Times New Roman"/>
                <w:sz w:val="22"/>
                <w:szCs w:val="22"/>
              </w:rPr>
              <w:t>(0.28)</w:t>
            </w:r>
          </w:p>
        </w:tc>
        <w:tc>
          <w:tcPr>
            <w:tcW w:w="1830" w:type="dxa"/>
            <w:tcBorders>
              <w:top w:val="nil"/>
              <w:left w:val="nil"/>
              <w:bottom w:val="nil"/>
              <w:right w:val="nil"/>
            </w:tcBorders>
          </w:tcPr>
          <w:p w14:paraId="6002A0ED" w14:textId="77777777" w:rsidR="00A14A03" w:rsidRPr="00062EAD" w:rsidRDefault="00A14A03" w:rsidP="00AE2262">
            <w:pPr>
              <w:jc w:val="center"/>
              <w:rPr>
                <w:rFonts w:ascii="Times New Roman" w:eastAsia="Calibri" w:hAnsi="Times New Roman" w:cs="Times New Roman"/>
                <w:sz w:val="22"/>
                <w:szCs w:val="22"/>
              </w:rPr>
            </w:pPr>
            <w:r w:rsidRPr="00062EAD">
              <w:rPr>
                <w:rFonts w:ascii="Times New Roman" w:eastAsia="Calibri" w:hAnsi="Times New Roman" w:cs="Times New Roman"/>
                <w:sz w:val="22"/>
                <w:szCs w:val="22"/>
              </w:rPr>
              <w:t>93.8***</w:t>
            </w:r>
          </w:p>
          <w:p w14:paraId="5FE48427" w14:textId="77777777" w:rsidR="00A14A03" w:rsidRPr="00062EAD" w:rsidRDefault="00A14A03" w:rsidP="00AE2262">
            <w:pPr>
              <w:jc w:val="center"/>
              <w:rPr>
                <w:rFonts w:ascii="Times New Roman" w:eastAsia="Calibri" w:hAnsi="Times New Roman" w:cs="Times New Roman"/>
                <w:sz w:val="22"/>
                <w:szCs w:val="22"/>
              </w:rPr>
            </w:pPr>
            <w:r w:rsidRPr="00062EAD">
              <w:rPr>
                <w:rFonts w:ascii="Times New Roman" w:eastAsia="Calibri" w:hAnsi="Times New Roman" w:cs="Times New Roman"/>
                <w:sz w:val="22"/>
                <w:szCs w:val="22"/>
              </w:rPr>
              <w:t>(0.00)</w:t>
            </w:r>
          </w:p>
        </w:tc>
        <w:tc>
          <w:tcPr>
            <w:tcW w:w="1830" w:type="dxa"/>
            <w:tcBorders>
              <w:top w:val="nil"/>
              <w:left w:val="nil"/>
              <w:bottom w:val="nil"/>
              <w:right w:val="nil"/>
            </w:tcBorders>
          </w:tcPr>
          <w:p w14:paraId="5CAEC720" w14:textId="77777777" w:rsidR="00A14A03" w:rsidRPr="00062EAD" w:rsidRDefault="00A14A03" w:rsidP="00AE2262">
            <w:pPr>
              <w:jc w:val="center"/>
              <w:rPr>
                <w:rFonts w:ascii="Times New Roman" w:eastAsia="Calibri" w:hAnsi="Times New Roman" w:cs="Times New Roman"/>
                <w:sz w:val="22"/>
                <w:szCs w:val="22"/>
              </w:rPr>
            </w:pPr>
          </w:p>
        </w:tc>
      </w:tr>
      <w:tr w:rsidR="00A14A03" w:rsidRPr="00062EAD" w14:paraId="19099E7A" w14:textId="77777777" w:rsidTr="00AE2262">
        <w:tc>
          <w:tcPr>
            <w:tcW w:w="3150" w:type="dxa"/>
            <w:tcBorders>
              <w:top w:val="nil"/>
              <w:left w:val="nil"/>
              <w:bottom w:val="nil"/>
              <w:right w:val="nil"/>
            </w:tcBorders>
            <w:shd w:val="clear" w:color="auto" w:fill="auto"/>
          </w:tcPr>
          <w:p w14:paraId="5695321E" w14:textId="77777777" w:rsidR="00A14A03" w:rsidRPr="00062EAD" w:rsidRDefault="00A14A03" w:rsidP="00AE2262">
            <w:pPr>
              <w:ind w:left="-36" w:right="-108" w:hanging="54"/>
              <w:rPr>
                <w:rFonts w:ascii="Times New Roman" w:eastAsia="Calibri" w:hAnsi="Times New Roman" w:cs="Times New Roman"/>
                <w:sz w:val="22"/>
                <w:szCs w:val="22"/>
              </w:rPr>
            </w:pPr>
            <w:r w:rsidRPr="00062EAD">
              <w:rPr>
                <w:rFonts w:ascii="Times New Roman" w:eastAsia="Calibri" w:hAnsi="Times New Roman" w:cs="Times New Roman"/>
                <w:sz w:val="22"/>
                <w:szCs w:val="22"/>
              </w:rPr>
              <w:t>VC Backed*R&amp;D/Sales</w:t>
            </w:r>
          </w:p>
        </w:tc>
        <w:tc>
          <w:tcPr>
            <w:tcW w:w="1740" w:type="dxa"/>
            <w:tcBorders>
              <w:top w:val="nil"/>
              <w:left w:val="nil"/>
              <w:bottom w:val="nil"/>
              <w:right w:val="nil"/>
            </w:tcBorders>
          </w:tcPr>
          <w:p w14:paraId="34B08343" w14:textId="77777777" w:rsidR="00A14A03" w:rsidRPr="00062EAD" w:rsidRDefault="00A14A03" w:rsidP="00AE2262">
            <w:pPr>
              <w:jc w:val="center"/>
              <w:rPr>
                <w:rFonts w:ascii="Times New Roman" w:eastAsia="Calibri" w:hAnsi="Times New Roman" w:cs="Times New Roman"/>
                <w:sz w:val="22"/>
                <w:szCs w:val="22"/>
              </w:rPr>
            </w:pPr>
            <w:r w:rsidRPr="00062EAD">
              <w:rPr>
                <w:rFonts w:ascii="Times New Roman" w:eastAsia="Calibri" w:hAnsi="Times New Roman" w:cs="Times New Roman"/>
                <w:sz w:val="22"/>
                <w:szCs w:val="22"/>
              </w:rPr>
              <w:t>264.3</w:t>
            </w:r>
          </w:p>
          <w:p w14:paraId="72A87D6D" w14:textId="77777777" w:rsidR="00A14A03" w:rsidRPr="00062EAD" w:rsidRDefault="00A14A03" w:rsidP="00AE2262">
            <w:pPr>
              <w:jc w:val="center"/>
              <w:rPr>
                <w:rFonts w:ascii="Times New Roman" w:eastAsia="Calibri" w:hAnsi="Times New Roman" w:cs="Times New Roman"/>
                <w:sz w:val="22"/>
                <w:szCs w:val="22"/>
              </w:rPr>
            </w:pPr>
            <w:r w:rsidRPr="00062EAD">
              <w:rPr>
                <w:rFonts w:ascii="Times New Roman" w:eastAsia="Calibri" w:hAnsi="Times New Roman" w:cs="Times New Roman"/>
                <w:sz w:val="22"/>
                <w:szCs w:val="22"/>
              </w:rPr>
              <w:t>(0.39)</w:t>
            </w:r>
          </w:p>
        </w:tc>
        <w:tc>
          <w:tcPr>
            <w:tcW w:w="1830" w:type="dxa"/>
            <w:tcBorders>
              <w:top w:val="nil"/>
              <w:left w:val="nil"/>
              <w:bottom w:val="nil"/>
              <w:right w:val="nil"/>
            </w:tcBorders>
          </w:tcPr>
          <w:p w14:paraId="44E0A181" w14:textId="77777777" w:rsidR="00A14A03" w:rsidRPr="00062EAD" w:rsidRDefault="00A14A03" w:rsidP="00AE2262">
            <w:pPr>
              <w:jc w:val="center"/>
              <w:rPr>
                <w:rFonts w:ascii="Times New Roman" w:eastAsia="Calibri" w:hAnsi="Times New Roman" w:cs="Times New Roman"/>
                <w:sz w:val="22"/>
                <w:szCs w:val="22"/>
              </w:rPr>
            </w:pPr>
            <w:r w:rsidRPr="00062EAD">
              <w:rPr>
                <w:rFonts w:ascii="Times New Roman" w:eastAsia="Calibri" w:hAnsi="Times New Roman" w:cs="Times New Roman"/>
                <w:sz w:val="22"/>
                <w:szCs w:val="22"/>
              </w:rPr>
              <w:t>339.5***</w:t>
            </w:r>
          </w:p>
          <w:p w14:paraId="78A0A2B5" w14:textId="77777777" w:rsidR="00A14A03" w:rsidRPr="00062EAD" w:rsidRDefault="00A14A03" w:rsidP="00AE2262">
            <w:pPr>
              <w:jc w:val="center"/>
              <w:rPr>
                <w:rFonts w:ascii="Times New Roman" w:eastAsia="Calibri" w:hAnsi="Times New Roman" w:cs="Times New Roman"/>
                <w:sz w:val="22"/>
                <w:szCs w:val="22"/>
              </w:rPr>
            </w:pPr>
            <w:r w:rsidRPr="00062EAD">
              <w:rPr>
                <w:rFonts w:ascii="Times New Roman" w:eastAsia="Calibri" w:hAnsi="Times New Roman" w:cs="Times New Roman"/>
                <w:sz w:val="22"/>
                <w:szCs w:val="22"/>
              </w:rPr>
              <w:t>(0.00)</w:t>
            </w:r>
          </w:p>
        </w:tc>
        <w:tc>
          <w:tcPr>
            <w:tcW w:w="1830" w:type="dxa"/>
            <w:tcBorders>
              <w:top w:val="nil"/>
              <w:left w:val="nil"/>
              <w:bottom w:val="nil"/>
              <w:right w:val="nil"/>
            </w:tcBorders>
          </w:tcPr>
          <w:p w14:paraId="458EF995" w14:textId="77777777" w:rsidR="00A14A03" w:rsidRPr="00062EAD" w:rsidRDefault="00A14A03" w:rsidP="00AE2262">
            <w:pPr>
              <w:jc w:val="center"/>
              <w:rPr>
                <w:rFonts w:ascii="Times New Roman" w:eastAsia="Calibri" w:hAnsi="Times New Roman" w:cs="Times New Roman"/>
                <w:sz w:val="22"/>
                <w:szCs w:val="22"/>
              </w:rPr>
            </w:pPr>
          </w:p>
        </w:tc>
      </w:tr>
      <w:tr w:rsidR="00A14A03" w:rsidRPr="00062EAD" w14:paraId="64286958" w14:textId="77777777" w:rsidTr="00AE2262">
        <w:tc>
          <w:tcPr>
            <w:tcW w:w="3150" w:type="dxa"/>
            <w:tcBorders>
              <w:top w:val="nil"/>
              <w:left w:val="nil"/>
              <w:bottom w:val="nil"/>
              <w:right w:val="nil"/>
            </w:tcBorders>
            <w:shd w:val="clear" w:color="auto" w:fill="auto"/>
          </w:tcPr>
          <w:p w14:paraId="21115D87" w14:textId="77777777" w:rsidR="00A14A03" w:rsidRPr="00062EAD" w:rsidRDefault="00A14A03" w:rsidP="00AE2262">
            <w:pPr>
              <w:ind w:left="-36" w:right="-108" w:hanging="54"/>
              <w:rPr>
                <w:rFonts w:ascii="Times New Roman" w:eastAsia="Calibri" w:hAnsi="Times New Roman" w:cs="Times New Roman"/>
                <w:sz w:val="22"/>
                <w:szCs w:val="22"/>
              </w:rPr>
            </w:pPr>
            <w:r w:rsidRPr="00062EAD">
              <w:rPr>
                <w:rFonts w:ascii="Times New Roman" w:eastAsia="Calibri" w:hAnsi="Times New Roman" w:cs="Times New Roman"/>
                <w:sz w:val="22"/>
                <w:szCs w:val="22"/>
              </w:rPr>
              <w:t>Log (Assets)</w:t>
            </w:r>
          </w:p>
        </w:tc>
        <w:tc>
          <w:tcPr>
            <w:tcW w:w="1740" w:type="dxa"/>
            <w:tcBorders>
              <w:top w:val="nil"/>
              <w:left w:val="nil"/>
              <w:bottom w:val="nil"/>
              <w:right w:val="nil"/>
            </w:tcBorders>
          </w:tcPr>
          <w:p w14:paraId="323DC827" w14:textId="77777777" w:rsidR="00A14A03" w:rsidRPr="00062EAD" w:rsidRDefault="00A14A03" w:rsidP="00AE2262">
            <w:pPr>
              <w:jc w:val="center"/>
              <w:rPr>
                <w:rFonts w:ascii="Times New Roman" w:eastAsia="Calibri" w:hAnsi="Times New Roman" w:cs="Times New Roman"/>
                <w:sz w:val="22"/>
                <w:szCs w:val="22"/>
              </w:rPr>
            </w:pPr>
          </w:p>
        </w:tc>
        <w:tc>
          <w:tcPr>
            <w:tcW w:w="1830" w:type="dxa"/>
            <w:tcBorders>
              <w:top w:val="nil"/>
              <w:left w:val="nil"/>
              <w:bottom w:val="nil"/>
              <w:right w:val="nil"/>
            </w:tcBorders>
          </w:tcPr>
          <w:p w14:paraId="07345E48" w14:textId="77777777" w:rsidR="00A14A03" w:rsidRPr="00062EAD" w:rsidRDefault="00A14A03" w:rsidP="00AE2262">
            <w:pPr>
              <w:jc w:val="center"/>
              <w:rPr>
                <w:rFonts w:ascii="Times New Roman" w:eastAsia="Calibri" w:hAnsi="Times New Roman" w:cs="Times New Roman"/>
                <w:sz w:val="22"/>
                <w:szCs w:val="22"/>
              </w:rPr>
            </w:pPr>
            <w:r w:rsidRPr="00062EAD">
              <w:rPr>
                <w:rFonts w:ascii="Times New Roman" w:eastAsia="Calibri" w:hAnsi="Times New Roman" w:cs="Times New Roman"/>
                <w:sz w:val="22"/>
                <w:szCs w:val="22"/>
              </w:rPr>
              <w:t>261,966.5***</w:t>
            </w:r>
          </w:p>
          <w:p w14:paraId="7F11A906" w14:textId="77777777" w:rsidR="00A14A03" w:rsidRPr="00062EAD" w:rsidRDefault="00A14A03" w:rsidP="00AE2262">
            <w:pPr>
              <w:jc w:val="center"/>
              <w:rPr>
                <w:rFonts w:ascii="Times New Roman" w:eastAsia="Calibri" w:hAnsi="Times New Roman" w:cs="Times New Roman"/>
                <w:sz w:val="22"/>
                <w:szCs w:val="22"/>
              </w:rPr>
            </w:pPr>
            <w:r w:rsidRPr="00062EAD">
              <w:rPr>
                <w:rFonts w:ascii="Times New Roman" w:eastAsia="Calibri" w:hAnsi="Times New Roman" w:cs="Times New Roman"/>
                <w:sz w:val="22"/>
                <w:szCs w:val="22"/>
              </w:rPr>
              <w:t>(0.00)</w:t>
            </w:r>
          </w:p>
        </w:tc>
        <w:tc>
          <w:tcPr>
            <w:tcW w:w="1830" w:type="dxa"/>
            <w:tcBorders>
              <w:top w:val="nil"/>
              <w:left w:val="nil"/>
              <w:bottom w:val="nil"/>
              <w:right w:val="nil"/>
            </w:tcBorders>
          </w:tcPr>
          <w:p w14:paraId="638E4636" w14:textId="77777777" w:rsidR="00A14A03" w:rsidRPr="00062EAD" w:rsidRDefault="00A14A03" w:rsidP="00AE2262">
            <w:pPr>
              <w:jc w:val="center"/>
              <w:rPr>
                <w:rFonts w:ascii="Times New Roman" w:eastAsia="Calibri" w:hAnsi="Times New Roman" w:cs="Times New Roman"/>
                <w:sz w:val="22"/>
                <w:szCs w:val="22"/>
              </w:rPr>
            </w:pPr>
          </w:p>
        </w:tc>
      </w:tr>
      <w:tr w:rsidR="00A14A03" w:rsidRPr="00062EAD" w14:paraId="0F1BCF44" w14:textId="77777777" w:rsidTr="00AE2262">
        <w:tc>
          <w:tcPr>
            <w:tcW w:w="3150" w:type="dxa"/>
            <w:tcBorders>
              <w:top w:val="nil"/>
              <w:left w:val="nil"/>
              <w:bottom w:val="nil"/>
              <w:right w:val="nil"/>
            </w:tcBorders>
            <w:shd w:val="clear" w:color="auto" w:fill="auto"/>
          </w:tcPr>
          <w:p w14:paraId="7D5E4C1A" w14:textId="77777777" w:rsidR="00A14A03" w:rsidRPr="00062EAD" w:rsidRDefault="00A14A03" w:rsidP="00AE2262">
            <w:pPr>
              <w:ind w:left="-36" w:right="-108" w:hanging="54"/>
              <w:rPr>
                <w:rFonts w:ascii="Times New Roman" w:eastAsia="Calibri" w:hAnsi="Times New Roman" w:cs="Times New Roman"/>
                <w:sz w:val="22"/>
                <w:szCs w:val="22"/>
              </w:rPr>
            </w:pPr>
            <w:r w:rsidRPr="00062EAD">
              <w:rPr>
                <w:rFonts w:ascii="Times New Roman" w:eastAsia="Calibri" w:hAnsi="Times New Roman" w:cs="Times New Roman"/>
                <w:sz w:val="22"/>
                <w:szCs w:val="22"/>
              </w:rPr>
              <w:t>Inventory/Sales</w:t>
            </w:r>
          </w:p>
        </w:tc>
        <w:tc>
          <w:tcPr>
            <w:tcW w:w="1740" w:type="dxa"/>
            <w:tcBorders>
              <w:top w:val="nil"/>
              <w:left w:val="nil"/>
              <w:bottom w:val="nil"/>
              <w:right w:val="nil"/>
            </w:tcBorders>
          </w:tcPr>
          <w:p w14:paraId="259A7A4E" w14:textId="77777777" w:rsidR="00A14A03" w:rsidRPr="00062EAD" w:rsidRDefault="00A14A03" w:rsidP="00AE2262">
            <w:pPr>
              <w:jc w:val="center"/>
              <w:rPr>
                <w:rFonts w:ascii="Times New Roman" w:eastAsia="Calibri" w:hAnsi="Times New Roman" w:cs="Times New Roman"/>
                <w:sz w:val="22"/>
                <w:szCs w:val="22"/>
              </w:rPr>
            </w:pPr>
          </w:p>
        </w:tc>
        <w:tc>
          <w:tcPr>
            <w:tcW w:w="1830" w:type="dxa"/>
            <w:tcBorders>
              <w:top w:val="nil"/>
              <w:left w:val="nil"/>
              <w:bottom w:val="nil"/>
              <w:right w:val="nil"/>
            </w:tcBorders>
          </w:tcPr>
          <w:p w14:paraId="3252DBBA" w14:textId="77777777" w:rsidR="00A14A03" w:rsidRPr="00062EAD" w:rsidRDefault="00A14A03" w:rsidP="00AE2262">
            <w:pPr>
              <w:jc w:val="center"/>
              <w:rPr>
                <w:rFonts w:ascii="Times New Roman" w:eastAsia="Calibri" w:hAnsi="Times New Roman" w:cs="Times New Roman"/>
                <w:sz w:val="22"/>
                <w:szCs w:val="22"/>
              </w:rPr>
            </w:pPr>
            <w:r w:rsidRPr="00062EAD">
              <w:rPr>
                <w:rFonts w:ascii="Times New Roman" w:eastAsia="Calibri" w:hAnsi="Times New Roman" w:cs="Times New Roman"/>
                <w:sz w:val="22"/>
                <w:szCs w:val="22"/>
              </w:rPr>
              <w:t>-5,501.8***</w:t>
            </w:r>
          </w:p>
          <w:p w14:paraId="2FC43CCC" w14:textId="77777777" w:rsidR="00A14A03" w:rsidRPr="00062EAD" w:rsidRDefault="00A14A03" w:rsidP="00AE2262">
            <w:pPr>
              <w:jc w:val="center"/>
              <w:rPr>
                <w:rFonts w:ascii="Times New Roman" w:eastAsia="Calibri" w:hAnsi="Times New Roman" w:cs="Times New Roman"/>
                <w:sz w:val="22"/>
                <w:szCs w:val="22"/>
              </w:rPr>
            </w:pPr>
            <w:r w:rsidRPr="00062EAD">
              <w:rPr>
                <w:rFonts w:ascii="Times New Roman" w:eastAsia="Calibri" w:hAnsi="Times New Roman" w:cs="Times New Roman"/>
                <w:sz w:val="22"/>
                <w:szCs w:val="22"/>
              </w:rPr>
              <w:t>(0.00)</w:t>
            </w:r>
          </w:p>
        </w:tc>
        <w:tc>
          <w:tcPr>
            <w:tcW w:w="1830" w:type="dxa"/>
            <w:tcBorders>
              <w:top w:val="nil"/>
              <w:left w:val="nil"/>
              <w:bottom w:val="nil"/>
              <w:right w:val="nil"/>
            </w:tcBorders>
          </w:tcPr>
          <w:p w14:paraId="165D29DD" w14:textId="77777777" w:rsidR="00A14A03" w:rsidRPr="00062EAD" w:rsidRDefault="00A14A03" w:rsidP="00AE2262">
            <w:pPr>
              <w:jc w:val="center"/>
              <w:rPr>
                <w:rFonts w:ascii="Times New Roman" w:eastAsia="Calibri" w:hAnsi="Times New Roman" w:cs="Times New Roman"/>
                <w:sz w:val="22"/>
                <w:szCs w:val="22"/>
              </w:rPr>
            </w:pPr>
          </w:p>
        </w:tc>
      </w:tr>
      <w:tr w:rsidR="00A14A03" w:rsidRPr="00062EAD" w14:paraId="38D6C3CC" w14:textId="77777777" w:rsidTr="00AE2262">
        <w:tc>
          <w:tcPr>
            <w:tcW w:w="3150" w:type="dxa"/>
            <w:tcBorders>
              <w:top w:val="nil"/>
              <w:left w:val="nil"/>
              <w:bottom w:val="nil"/>
              <w:right w:val="nil"/>
            </w:tcBorders>
            <w:shd w:val="clear" w:color="auto" w:fill="auto"/>
          </w:tcPr>
          <w:p w14:paraId="38EB1E39" w14:textId="77777777" w:rsidR="00A14A03" w:rsidRPr="00062EAD" w:rsidRDefault="00A14A03" w:rsidP="00AE2262">
            <w:pPr>
              <w:ind w:left="-36" w:right="-108" w:hanging="54"/>
              <w:rPr>
                <w:rFonts w:ascii="Times New Roman" w:eastAsia="Calibri" w:hAnsi="Times New Roman" w:cs="Times New Roman"/>
                <w:sz w:val="22"/>
                <w:szCs w:val="22"/>
              </w:rPr>
            </w:pPr>
            <w:r w:rsidRPr="00062EAD">
              <w:rPr>
                <w:rFonts w:ascii="Times New Roman" w:eastAsia="Calibri" w:hAnsi="Times New Roman" w:cs="Times New Roman"/>
                <w:sz w:val="22"/>
                <w:szCs w:val="22"/>
              </w:rPr>
              <w:t>Total debt/Assets</w:t>
            </w:r>
          </w:p>
        </w:tc>
        <w:tc>
          <w:tcPr>
            <w:tcW w:w="1740" w:type="dxa"/>
            <w:tcBorders>
              <w:top w:val="nil"/>
              <w:left w:val="nil"/>
              <w:bottom w:val="nil"/>
              <w:right w:val="nil"/>
            </w:tcBorders>
          </w:tcPr>
          <w:p w14:paraId="2EF3453A" w14:textId="77777777" w:rsidR="00A14A03" w:rsidRPr="00062EAD" w:rsidRDefault="00A14A03" w:rsidP="00AE2262">
            <w:pPr>
              <w:jc w:val="center"/>
              <w:rPr>
                <w:rFonts w:ascii="Times New Roman" w:eastAsia="Calibri" w:hAnsi="Times New Roman" w:cs="Times New Roman"/>
                <w:sz w:val="22"/>
                <w:szCs w:val="22"/>
              </w:rPr>
            </w:pPr>
          </w:p>
        </w:tc>
        <w:tc>
          <w:tcPr>
            <w:tcW w:w="1830" w:type="dxa"/>
            <w:tcBorders>
              <w:top w:val="nil"/>
              <w:left w:val="nil"/>
              <w:bottom w:val="nil"/>
              <w:right w:val="nil"/>
            </w:tcBorders>
          </w:tcPr>
          <w:p w14:paraId="45B397B7" w14:textId="77777777" w:rsidR="00A14A03" w:rsidRPr="00062EAD" w:rsidRDefault="00A14A03" w:rsidP="00AE2262">
            <w:pPr>
              <w:jc w:val="center"/>
              <w:rPr>
                <w:rFonts w:ascii="Times New Roman" w:eastAsia="Calibri" w:hAnsi="Times New Roman" w:cs="Times New Roman"/>
                <w:sz w:val="22"/>
                <w:szCs w:val="22"/>
              </w:rPr>
            </w:pPr>
            <w:r w:rsidRPr="00062EAD">
              <w:rPr>
                <w:rFonts w:ascii="Times New Roman" w:eastAsia="Calibri" w:hAnsi="Times New Roman" w:cs="Times New Roman"/>
                <w:sz w:val="22"/>
                <w:szCs w:val="22"/>
              </w:rPr>
              <w:t>-9,972.9***</w:t>
            </w:r>
          </w:p>
          <w:p w14:paraId="15D01290" w14:textId="77777777" w:rsidR="00A14A03" w:rsidRPr="00062EAD" w:rsidRDefault="00A14A03" w:rsidP="00AE2262">
            <w:pPr>
              <w:jc w:val="center"/>
              <w:rPr>
                <w:rFonts w:ascii="Times New Roman" w:eastAsia="Calibri" w:hAnsi="Times New Roman" w:cs="Times New Roman"/>
                <w:sz w:val="22"/>
                <w:szCs w:val="22"/>
              </w:rPr>
            </w:pPr>
            <w:r w:rsidRPr="00062EAD">
              <w:rPr>
                <w:rFonts w:ascii="Times New Roman" w:eastAsia="Calibri" w:hAnsi="Times New Roman" w:cs="Times New Roman"/>
                <w:sz w:val="22"/>
                <w:szCs w:val="22"/>
              </w:rPr>
              <w:t>(0.00)</w:t>
            </w:r>
          </w:p>
        </w:tc>
        <w:tc>
          <w:tcPr>
            <w:tcW w:w="1830" w:type="dxa"/>
            <w:tcBorders>
              <w:top w:val="nil"/>
              <w:left w:val="nil"/>
              <w:bottom w:val="nil"/>
              <w:right w:val="nil"/>
            </w:tcBorders>
          </w:tcPr>
          <w:p w14:paraId="6A64D1F0" w14:textId="77777777" w:rsidR="00A14A03" w:rsidRPr="00062EAD" w:rsidRDefault="00A14A03" w:rsidP="00AE2262">
            <w:pPr>
              <w:jc w:val="center"/>
              <w:rPr>
                <w:rFonts w:ascii="Times New Roman" w:eastAsia="Calibri" w:hAnsi="Times New Roman" w:cs="Times New Roman"/>
                <w:sz w:val="22"/>
                <w:szCs w:val="22"/>
              </w:rPr>
            </w:pPr>
          </w:p>
        </w:tc>
      </w:tr>
      <w:tr w:rsidR="00A14A03" w:rsidRPr="00062EAD" w14:paraId="061212D4" w14:textId="77777777" w:rsidTr="00AE2262">
        <w:tc>
          <w:tcPr>
            <w:tcW w:w="3150" w:type="dxa"/>
            <w:tcBorders>
              <w:top w:val="nil"/>
              <w:left w:val="nil"/>
              <w:bottom w:val="nil"/>
              <w:right w:val="nil"/>
            </w:tcBorders>
            <w:shd w:val="clear" w:color="auto" w:fill="auto"/>
          </w:tcPr>
          <w:p w14:paraId="22223A42" w14:textId="77777777" w:rsidR="00A14A03" w:rsidRPr="00062EAD" w:rsidRDefault="00A14A03" w:rsidP="00AE2262">
            <w:pPr>
              <w:ind w:left="-36" w:right="-108" w:hanging="54"/>
              <w:rPr>
                <w:rFonts w:ascii="Times New Roman" w:eastAsia="Calibri" w:hAnsi="Times New Roman" w:cs="Times New Roman"/>
                <w:sz w:val="22"/>
                <w:szCs w:val="22"/>
              </w:rPr>
            </w:pPr>
            <w:r w:rsidRPr="00062EAD">
              <w:rPr>
                <w:rFonts w:ascii="Times New Roman" w:eastAsia="Calibri" w:hAnsi="Times New Roman" w:cs="Times New Roman"/>
                <w:sz w:val="22"/>
                <w:szCs w:val="22"/>
              </w:rPr>
              <w:t>Intangibles/Assets</w:t>
            </w:r>
          </w:p>
        </w:tc>
        <w:tc>
          <w:tcPr>
            <w:tcW w:w="1740" w:type="dxa"/>
            <w:tcBorders>
              <w:top w:val="nil"/>
              <w:left w:val="nil"/>
              <w:bottom w:val="nil"/>
              <w:right w:val="nil"/>
            </w:tcBorders>
          </w:tcPr>
          <w:p w14:paraId="1621C4F4" w14:textId="77777777" w:rsidR="00A14A03" w:rsidRPr="00062EAD" w:rsidRDefault="00A14A03" w:rsidP="00AE2262">
            <w:pPr>
              <w:jc w:val="center"/>
              <w:rPr>
                <w:rFonts w:ascii="Times New Roman" w:eastAsia="Calibri" w:hAnsi="Times New Roman" w:cs="Times New Roman"/>
                <w:sz w:val="22"/>
                <w:szCs w:val="22"/>
              </w:rPr>
            </w:pPr>
          </w:p>
        </w:tc>
        <w:tc>
          <w:tcPr>
            <w:tcW w:w="1830" w:type="dxa"/>
            <w:tcBorders>
              <w:top w:val="nil"/>
              <w:left w:val="nil"/>
              <w:bottom w:val="nil"/>
              <w:right w:val="nil"/>
            </w:tcBorders>
          </w:tcPr>
          <w:p w14:paraId="288D895A" w14:textId="77777777" w:rsidR="00A14A03" w:rsidRPr="00062EAD" w:rsidRDefault="00A14A03" w:rsidP="00AE2262">
            <w:pPr>
              <w:jc w:val="center"/>
              <w:rPr>
                <w:rFonts w:ascii="Times New Roman" w:eastAsia="Calibri" w:hAnsi="Times New Roman" w:cs="Times New Roman"/>
                <w:sz w:val="22"/>
                <w:szCs w:val="22"/>
              </w:rPr>
            </w:pPr>
            <w:r w:rsidRPr="00062EAD">
              <w:rPr>
                <w:rFonts w:ascii="Times New Roman" w:eastAsia="Calibri" w:hAnsi="Times New Roman" w:cs="Times New Roman"/>
                <w:sz w:val="22"/>
                <w:szCs w:val="22"/>
              </w:rPr>
              <w:t>-731.6</w:t>
            </w:r>
          </w:p>
          <w:p w14:paraId="58DB0AD3" w14:textId="77777777" w:rsidR="00A14A03" w:rsidRPr="00062EAD" w:rsidRDefault="00A14A03" w:rsidP="00AE2262">
            <w:pPr>
              <w:jc w:val="center"/>
              <w:rPr>
                <w:rFonts w:ascii="Times New Roman" w:eastAsia="Calibri" w:hAnsi="Times New Roman" w:cs="Times New Roman"/>
                <w:sz w:val="22"/>
                <w:szCs w:val="22"/>
              </w:rPr>
            </w:pPr>
            <w:r w:rsidRPr="00062EAD">
              <w:rPr>
                <w:rFonts w:ascii="Times New Roman" w:eastAsia="Calibri" w:hAnsi="Times New Roman" w:cs="Times New Roman"/>
                <w:sz w:val="22"/>
                <w:szCs w:val="22"/>
              </w:rPr>
              <w:t>(0.767)</w:t>
            </w:r>
          </w:p>
        </w:tc>
        <w:tc>
          <w:tcPr>
            <w:tcW w:w="1830" w:type="dxa"/>
            <w:tcBorders>
              <w:top w:val="nil"/>
              <w:left w:val="nil"/>
              <w:bottom w:val="nil"/>
              <w:right w:val="nil"/>
            </w:tcBorders>
          </w:tcPr>
          <w:p w14:paraId="663B2547" w14:textId="77777777" w:rsidR="00A14A03" w:rsidRPr="00062EAD" w:rsidRDefault="00A14A03" w:rsidP="00AE2262">
            <w:pPr>
              <w:jc w:val="center"/>
              <w:rPr>
                <w:rFonts w:ascii="Times New Roman" w:eastAsia="Calibri" w:hAnsi="Times New Roman" w:cs="Times New Roman"/>
                <w:sz w:val="22"/>
                <w:szCs w:val="22"/>
              </w:rPr>
            </w:pPr>
          </w:p>
        </w:tc>
      </w:tr>
      <w:tr w:rsidR="00A14A03" w:rsidRPr="00062EAD" w14:paraId="1FCD406A" w14:textId="77777777" w:rsidTr="00AE2262">
        <w:tc>
          <w:tcPr>
            <w:tcW w:w="3150" w:type="dxa"/>
            <w:tcBorders>
              <w:top w:val="nil"/>
              <w:left w:val="nil"/>
              <w:bottom w:val="nil"/>
              <w:right w:val="nil"/>
            </w:tcBorders>
            <w:shd w:val="clear" w:color="auto" w:fill="auto"/>
          </w:tcPr>
          <w:p w14:paraId="7E68F00E" w14:textId="77777777" w:rsidR="00A14A03" w:rsidRPr="00062EAD" w:rsidRDefault="00A14A03" w:rsidP="00AE2262">
            <w:pPr>
              <w:ind w:left="-36" w:right="-108" w:hanging="54"/>
              <w:rPr>
                <w:rFonts w:ascii="Times New Roman" w:eastAsia="Calibri" w:hAnsi="Times New Roman" w:cs="Times New Roman"/>
                <w:sz w:val="22"/>
                <w:szCs w:val="22"/>
              </w:rPr>
            </w:pPr>
            <w:r w:rsidRPr="00062EAD">
              <w:rPr>
                <w:rFonts w:ascii="Times New Roman" w:eastAsia="Calibri" w:hAnsi="Times New Roman" w:cs="Times New Roman"/>
                <w:sz w:val="22"/>
                <w:szCs w:val="22"/>
              </w:rPr>
              <w:t>Return on equity</w:t>
            </w:r>
          </w:p>
        </w:tc>
        <w:tc>
          <w:tcPr>
            <w:tcW w:w="1740" w:type="dxa"/>
            <w:tcBorders>
              <w:top w:val="nil"/>
              <w:left w:val="nil"/>
              <w:bottom w:val="nil"/>
              <w:right w:val="nil"/>
            </w:tcBorders>
          </w:tcPr>
          <w:p w14:paraId="1ACE4D43" w14:textId="77777777" w:rsidR="00A14A03" w:rsidRPr="00062EAD" w:rsidRDefault="00A14A03" w:rsidP="00AE2262">
            <w:pPr>
              <w:jc w:val="center"/>
              <w:rPr>
                <w:rFonts w:ascii="Times New Roman" w:eastAsia="Calibri" w:hAnsi="Times New Roman" w:cs="Times New Roman"/>
                <w:sz w:val="22"/>
                <w:szCs w:val="22"/>
              </w:rPr>
            </w:pPr>
          </w:p>
        </w:tc>
        <w:tc>
          <w:tcPr>
            <w:tcW w:w="1830" w:type="dxa"/>
            <w:tcBorders>
              <w:top w:val="nil"/>
              <w:left w:val="nil"/>
              <w:bottom w:val="nil"/>
              <w:right w:val="nil"/>
            </w:tcBorders>
          </w:tcPr>
          <w:p w14:paraId="7776C6B3" w14:textId="77777777" w:rsidR="00A14A03" w:rsidRPr="00062EAD" w:rsidRDefault="00A14A03" w:rsidP="00AE2262">
            <w:pPr>
              <w:jc w:val="center"/>
              <w:rPr>
                <w:rFonts w:ascii="Times New Roman" w:eastAsia="Calibri" w:hAnsi="Times New Roman" w:cs="Times New Roman"/>
                <w:sz w:val="22"/>
                <w:szCs w:val="22"/>
              </w:rPr>
            </w:pPr>
            <w:r w:rsidRPr="00062EAD">
              <w:rPr>
                <w:rFonts w:ascii="Times New Roman" w:eastAsia="Calibri" w:hAnsi="Times New Roman" w:cs="Times New Roman"/>
                <w:sz w:val="22"/>
                <w:szCs w:val="22"/>
              </w:rPr>
              <w:t>-55.5</w:t>
            </w:r>
          </w:p>
          <w:p w14:paraId="22B1A62F" w14:textId="77777777" w:rsidR="00A14A03" w:rsidRPr="00062EAD" w:rsidRDefault="00A14A03" w:rsidP="00AE2262">
            <w:pPr>
              <w:jc w:val="center"/>
              <w:rPr>
                <w:rFonts w:ascii="Times New Roman" w:eastAsia="Calibri" w:hAnsi="Times New Roman" w:cs="Times New Roman"/>
                <w:sz w:val="22"/>
                <w:szCs w:val="22"/>
              </w:rPr>
            </w:pPr>
            <w:r w:rsidRPr="00062EAD">
              <w:rPr>
                <w:rFonts w:ascii="Times New Roman" w:eastAsia="Calibri" w:hAnsi="Times New Roman" w:cs="Times New Roman"/>
                <w:sz w:val="22"/>
                <w:szCs w:val="22"/>
              </w:rPr>
              <w:t>(0.582)</w:t>
            </w:r>
          </w:p>
        </w:tc>
        <w:tc>
          <w:tcPr>
            <w:tcW w:w="1830" w:type="dxa"/>
            <w:tcBorders>
              <w:top w:val="nil"/>
              <w:left w:val="nil"/>
              <w:bottom w:val="nil"/>
              <w:right w:val="nil"/>
            </w:tcBorders>
          </w:tcPr>
          <w:p w14:paraId="144114F2" w14:textId="77777777" w:rsidR="00A14A03" w:rsidRPr="00062EAD" w:rsidRDefault="00A14A03" w:rsidP="00AE2262">
            <w:pPr>
              <w:jc w:val="center"/>
              <w:rPr>
                <w:rFonts w:ascii="Times New Roman" w:eastAsia="Calibri" w:hAnsi="Times New Roman" w:cs="Times New Roman"/>
                <w:sz w:val="22"/>
                <w:szCs w:val="22"/>
              </w:rPr>
            </w:pPr>
          </w:p>
        </w:tc>
      </w:tr>
      <w:tr w:rsidR="00A14A03" w:rsidRPr="00062EAD" w14:paraId="36C7C940" w14:textId="77777777" w:rsidTr="00AE2262">
        <w:tc>
          <w:tcPr>
            <w:tcW w:w="3150" w:type="dxa"/>
            <w:tcBorders>
              <w:top w:val="nil"/>
              <w:left w:val="nil"/>
              <w:bottom w:val="nil"/>
              <w:right w:val="nil"/>
            </w:tcBorders>
            <w:shd w:val="clear" w:color="auto" w:fill="auto"/>
          </w:tcPr>
          <w:p w14:paraId="202CD456" w14:textId="77777777" w:rsidR="00A14A03" w:rsidRPr="00062EAD" w:rsidRDefault="00A14A03" w:rsidP="00AE2262">
            <w:pPr>
              <w:ind w:left="-36" w:right="-108" w:hanging="54"/>
              <w:rPr>
                <w:rFonts w:ascii="Times New Roman" w:eastAsia="Calibri" w:hAnsi="Times New Roman" w:cs="Times New Roman"/>
                <w:sz w:val="22"/>
                <w:szCs w:val="22"/>
              </w:rPr>
            </w:pPr>
            <w:r w:rsidRPr="00062EAD">
              <w:rPr>
                <w:rFonts w:ascii="Times New Roman" w:eastAsia="Calibri" w:hAnsi="Times New Roman" w:cs="Times New Roman"/>
                <w:sz w:val="22"/>
                <w:szCs w:val="22"/>
              </w:rPr>
              <w:t>PPE/Assets</w:t>
            </w:r>
          </w:p>
        </w:tc>
        <w:tc>
          <w:tcPr>
            <w:tcW w:w="1740" w:type="dxa"/>
            <w:tcBorders>
              <w:top w:val="nil"/>
              <w:left w:val="nil"/>
              <w:bottom w:val="nil"/>
              <w:right w:val="nil"/>
            </w:tcBorders>
          </w:tcPr>
          <w:p w14:paraId="72DAB910" w14:textId="77777777" w:rsidR="00A14A03" w:rsidRPr="00062EAD" w:rsidRDefault="00A14A03" w:rsidP="00AE2262">
            <w:pPr>
              <w:jc w:val="center"/>
              <w:rPr>
                <w:rFonts w:ascii="Times New Roman" w:eastAsia="Calibri" w:hAnsi="Times New Roman" w:cs="Times New Roman"/>
                <w:sz w:val="22"/>
                <w:szCs w:val="22"/>
              </w:rPr>
            </w:pPr>
          </w:p>
        </w:tc>
        <w:tc>
          <w:tcPr>
            <w:tcW w:w="1830" w:type="dxa"/>
            <w:tcBorders>
              <w:top w:val="nil"/>
              <w:left w:val="nil"/>
              <w:bottom w:val="nil"/>
              <w:right w:val="nil"/>
            </w:tcBorders>
          </w:tcPr>
          <w:p w14:paraId="4BFA8223" w14:textId="77777777" w:rsidR="00A14A03" w:rsidRPr="00062EAD" w:rsidRDefault="00A14A03" w:rsidP="00AE2262">
            <w:pPr>
              <w:jc w:val="center"/>
              <w:rPr>
                <w:rFonts w:ascii="Times New Roman" w:eastAsia="Calibri" w:hAnsi="Times New Roman" w:cs="Times New Roman"/>
                <w:sz w:val="22"/>
                <w:szCs w:val="22"/>
              </w:rPr>
            </w:pPr>
            <w:r w:rsidRPr="00062EAD">
              <w:rPr>
                <w:rFonts w:ascii="Times New Roman" w:eastAsia="Calibri" w:hAnsi="Times New Roman" w:cs="Times New Roman"/>
                <w:sz w:val="22"/>
                <w:szCs w:val="22"/>
              </w:rPr>
              <w:t>4,071.2*</w:t>
            </w:r>
          </w:p>
          <w:p w14:paraId="645F6522" w14:textId="77777777" w:rsidR="00A14A03" w:rsidRPr="00062EAD" w:rsidRDefault="00A14A03" w:rsidP="00AE2262">
            <w:pPr>
              <w:jc w:val="center"/>
              <w:rPr>
                <w:rFonts w:ascii="Times New Roman" w:eastAsia="Calibri" w:hAnsi="Times New Roman" w:cs="Times New Roman"/>
                <w:sz w:val="22"/>
                <w:szCs w:val="22"/>
              </w:rPr>
            </w:pPr>
            <w:r w:rsidRPr="00062EAD">
              <w:rPr>
                <w:rFonts w:ascii="Times New Roman" w:eastAsia="Calibri" w:hAnsi="Times New Roman" w:cs="Times New Roman"/>
                <w:sz w:val="22"/>
                <w:szCs w:val="22"/>
              </w:rPr>
              <w:t>(0.07)</w:t>
            </w:r>
          </w:p>
        </w:tc>
        <w:tc>
          <w:tcPr>
            <w:tcW w:w="1830" w:type="dxa"/>
            <w:tcBorders>
              <w:top w:val="nil"/>
              <w:left w:val="nil"/>
              <w:bottom w:val="nil"/>
              <w:right w:val="nil"/>
            </w:tcBorders>
          </w:tcPr>
          <w:p w14:paraId="3AB7C330" w14:textId="77777777" w:rsidR="00A14A03" w:rsidRPr="00062EAD" w:rsidRDefault="00A14A03" w:rsidP="00AE2262">
            <w:pPr>
              <w:jc w:val="center"/>
              <w:rPr>
                <w:rFonts w:ascii="Times New Roman" w:eastAsia="Calibri" w:hAnsi="Times New Roman" w:cs="Times New Roman"/>
                <w:sz w:val="22"/>
                <w:szCs w:val="22"/>
              </w:rPr>
            </w:pPr>
          </w:p>
        </w:tc>
      </w:tr>
      <w:tr w:rsidR="00A14A03" w:rsidRPr="00062EAD" w14:paraId="1B3609EB" w14:textId="77777777" w:rsidTr="00AE2262">
        <w:tc>
          <w:tcPr>
            <w:tcW w:w="3150" w:type="dxa"/>
            <w:tcBorders>
              <w:top w:val="nil"/>
              <w:left w:val="nil"/>
              <w:bottom w:val="nil"/>
              <w:right w:val="nil"/>
            </w:tcBorders>
            <w:shd w:val="clear" w:color="auto" w:fill="auto"/>
          </w:tcPr>
          <w:p w14:paraId="29807AA9" w14:textId="77777777" w:rsidR="00A14A03" w:rsidRPr="00062EAD" w:rsidRDefault="00A14A03" w:rsidP="00AE2262">
            <w:pPr>
              <w:ind w:left="-36" w:right="-108" w:hanging="54"/>
              <w:rPr>
                <w:rFonts w:ascii="Times New Roman" w:eastAsia="Calibri" w:hAnsi="Times New Roman" w:cs="Times New Roman"/>
                <w:sz w:val="22"/>
                <w:szCs w:val="22"/>
              </w:rPr>
            </w:pPr>
            <w:r w:rsidRPr="00062EAD">
              <w:rPr>
                <w:rFonts w:ascii="Times New Roman" w:eastAsia="Calibri" w:hAnsi="Times New Roman" w:cs="Times New Roman"/>
                <w:sz w:val="22"/>
                <w:szCs w:val="22"/>
              </w:rPr>
              <w:t>Constant</w:t>
            </w:r>
          </w:p>
        </w:tc>
        <w:tc>
          <w:tcPr>
            <w:tcW w:w="1740" w:type="dxa"/>
            <w:tcBorders>
              <w:top w:val="nil"/>
              <w:left w:val="nil"/>
              <w:bottom w:val="nil"/>
              <w:right w:val="nil"/>
            </w:tcBorders>
          </w:tcPr>
          <w:p w14:paraId="40EE7A24" w14:textId="77777777" w:rsidR="00A14A03" w:rsidRPr="00062EAD" w:rsidRDefault="00A14A03" w:rsidP="00AE2262">
            <w:pPr>
              <w:jc w:val="center"/>
              <w:rPr>
                <w:rFonts w:ascii="Times New Roman" w:eastAsia="Calibri" w:hAnsi="Times New Roman" w:cs="Times New Roman"/>
                <w:sz w:val="22"/>
                <w:szCs w:val="22"/>
              </w:rPr>
            </w:pPr>
            <w:r w:rsidRPr="00062EAD">
              <w:rPr>
                <w:rFonts w:ascii="Times New Roman" w:eastAsia="Calibri" w:hAnsi="Times New Roman" w:cs="Times New Roman"/>
                <w:sz w:val="22"/>
                <w:szCs w:val="22"/>
              </w:rPr>
              <w:t>1,336,412***</w:t>
            </w:r>
          </w:p>
          <w:p w14:paraId="17D07B44" w14:textId="77777777" w:rsidR="00A14A03" w:rsidRPr="00062EAD" w:rsidRDefault="00A14A03" w:rsidP="00AE2262">
            <w:pPr>
              <w:jc w:val="center"/>
              <w:rPr>
                <w:rFonts w:ascii="Times New Roman" w:eastAsia="Calibri" w:hAnsi="Times New Roman" w:cs="Times New Roman"/>
                <w:sz w:val="22"/>
                <w:szCs w:val="22"/>
              </w:rPr>
            </w:pPr>
            <w:r w:rsidRPr="00062EAD">
              <w:rPr>
                <w:rFonts w:ascii="Times New Roman" w:eastAsia="Calibri" w:hAnsi="Times New Roman" w:cs="Times New Roman"/>
                <w:sz w:val="22"/>
                <w:szCs w:val="22"/>
              </w:rPr>
              <w:t>(0.00)</w:t>
            </w:r>
          </w:p>
        </w:tc>
        <w:tc>
          <w:tcPr>
            <w:tcW w:w="1830" w:type="dxa"/>
            <w:tcBorders>
              <w:top w:val="nil"/>
              <w:left w:val="nil"/>
              <w:bottom w:val="nil"/>
              <w:right w:val="nil"/>
            </w:tcBorders>
          </w:tcPr>
          <w:p w14:paraId="34159E6B" w14:textId="77777777" w:rsidR="00A14A03" w:rsidRPr="00062EAD" w:rsidRDefault="00A14A03" w:rsidP="00AE2262">
            <w:pPr>
              <w:jc w:val="center"/>
              <w:rPr>
                <w:rFonts w:ascii="Times New Roman" w:eastAsia="Calibri" w:hAnsi="Times New Roman" w:cs="Times New Roman"/>
                <w:sz w:val="22"/>
                <w:szCs w:val="22"/>
              </w:rPr>
            </w:pPr>
            <w:r w:rsidRPr="00062EAD">
              <w:rPr>
                <w:rFonts w:ascii="Times New Roman" w:eastAsia="Calibri" w:hAnsi="Times New Roman" w:cs="Times New Roman"/>
                <w:sz w:val="22"/>
                <w:szCs w:val="22"/>
              </w:rPr>
              <w:t>6,802,674***</w:t>
            </w:r>
          </w:p>
          <w:p w14:paraId="3C6B49FC" w14:textId="77777777" w:rsidR="00A14A03" w:rsidRPr="00062EAD" w:rsidRDefault="00A14A03" w:rsidP="00AE2262">
            <w:pPr>
              <w:jc w:val="center"/>
              <w:rPr>
                <w:rFonts w:ascii="Times New Roman" w:eastAsia="Calibri" w:hAnsi="Times New Roman" w:cs="Times New Roman"/>
                <w:sz w:val="22"/>
                <w:szCs w:val="22"/>
              </w:rPr>
            </w:pPr>
            <w:r w:rsidRPr="00062EAD">
              <w:rPr>
                <w:rFonts w:ascii="Times New Roman" w:eastAsia="Calibri" w:hAnsi="Times New Roman" w:cs="Times New Roman"/>
                <w:sz w:val="22"/>
                <w:szCs w:val="22"/>
              </w:rPr>
              <w:t>(0.00)</w:t>
            </w:r>
          </w:p>
        </w:tc>
        <w:tc>
          <w:tcPr>
            <w:tcW w:w="1830" w:type="dxa"/>
            <w:tcBorders>
              <w:top w:val="nil"/>
              <w:left w:val="nil"/>
              <w:bottom w:val="nil"/>
              <w:right w:val="nil"/>
            </w:tcBorders>
          </w:tcPr>
          <w:p w14:paraId="7B021D96" w14:textId="77777777" w:rsidR="00A14A03" w:rsidRPr="00062EAD" w:rsidRDefault="00A14A03" w:rsidP="00AE2262">
            <w:pPr>
              <w:jc w:val="center"/>
              <w:rPr>
                <w:rFonts w:ascii="Times New Roman" w:eastAsia="Calibri" w:hAnsi="Times New Roman" w:cs="Times New Roman"/>
                <w:sz w:val="22"/>
                <w:szCs w:val="22"/>
              </w:rPr>
            </w:pPr>
          </w:p>
        </w:tc>
      </w:tr>
      <w:tr w:rsidR="00A14A03" w:rsidRPr="00062EAD" w14:paraId="77EBF10F" w14:textId="77777777" w:rsidTr="00AE2262">
        <w:tc>
          <w:tcPr>
            <w:tcW w:w="3150" w:type="dxa"/>
            <w:tcBorders>
              <w:top w:val="nil"/>
              <w:left w:val="nil"/>
              <w:bottom w:val="nil"/>
              <w:right w:val="nil"/>
            </w:tcBorders>
            <w:shd w:val="clear" w:color="auto" w:fill="auto"/>
          </w:tcPr>
          <w:p w14:paraId="03272AC1" w14:textId="77777777" w:rsidR="00A14A03" w:rsidRPr="00062EAD" w:rsidRDefault="00A14A03" w:rsidP="00AE2262">
            <w:pPr>
              <w:ind w:left="-36" w:right="-108" w:hanging="54"/>
              <w:rPr>
                <w:rFonts w:ascii="Times New Roman" w:eastAsia="Calibri" w:hAnsi="Times New Roman" w:cs="Times New Roman"/>
                <w:sz w:val="22"/>
                <w:szCs w:val="22"/>
              </w:rPr>
            </w:pPr>
            <w:r w:rsidRPr="00062EAD">
              <w:rPr>
                <w:rFonts w:ascii="Times New Roman" w:eastAsia="Calibri" w:hAnsi="Times New Roman" w:cs="Times New Roman"/>
                <w:sz w:val="22"/>
                <w:szCs w:val="22"/>
              </w:rPr>
              <w:t>Industry fixed effects</w:t>
            </w:r>
          </w:p>
        </w:tc>
        <w:tc>
          <w:tcPr>
            <w:tcW w:w="1740" w:type="dxa"/>
            <w:tcBorders>
              <w:top w:val="nil"/>
              <w:left w:val="nil"/>
              <w:bottom w:val="nil"/>
              <w:right w:val="nil"/>
            </w:tcBorders>
          </w:tcPr>
          <w:p w14:paraId="109FF24D" w14:textId="77777777" w:rsidR="00A14A03" w:rsidRPr="00062EAD" w:rsidRDefault="00A14A03" w:rsidP="00AE2262">
            <w:pPr>
              <w:jc w:val="center"/>
              <w:rPr>
                <w:rFonts w:ascii="Times New Roman" w:eastAsia="Calibri" w:hAnsi="Times New Roman" w:cs="Times New Roman"/>
                <w:sz w:val="22"/>
                <w:szCs w:val="22"/>
              </w:rPr>
            </w:pPr>
            <w:r w:rsidRPr="00062EAD">
              <w:rPr>
                <w:rFonts w:ascii="Times New Roman" w:eastAsia="Calibri" w:hAnsi="Times New Roman" w:cs="Times New Roman"/>
                <w:sz w:val="22"/>
                <w:szCs w:val="22"/>
              </w:rPr>
              <w:t>No</w:t>
            </w:r>
          </w:p>
        </w:tc>
        <w:tc>
          <w:tcPr>
            <w:tcW w:w="1830" w:type="dxa"/>
            <w:tcBorders>
              <w:top w:val="nil"/>
              <w:left w:val="nil"/>
              <w:bottom w:val="nil"/>
              <w:right w:val="nil"/>
            </w:tcBorders>
          </w:tcPr>
          <w:p w14:paraId="631F32B0" w14:textId="77777777" w:rsidR="00A14A03" w:rsidRPr="00062EAD" w:rsidRDefault="00A14A03" w:rsidP="00AE2262">
            <w:pPr>
              <w:jc w:val="center"/>
              <w:rPr>
                <w:rFonts w:ascii="Times New Roman" w:eastAsia="Calibri" w:hAnsi="Times New Roman" w:cs="Times New Roman"/>
                <w:sz w:val="22"/>
                <w:szCs w:val="22"/>
              </w:rPr>
            </w:pPr>
            <w:r w:rsidRPr="00062EAD">
              <w:rPr>
                <w:rFonts w:ascii="Times New Roman" w:eastAsia="Calibri" w:hAnsi="Times New Roman" w:cs="Times New Roman"/>
                <w:sz w:val="22"/>
                <w:szCs w:val="22"/>
              </w:rPr>
              <w:t>Yes</w:t>
            </w:r>
          </w:p>
        </w:tc>
        <w:tc>
          <w:tcPr>
            <w:tcW w:w="1830" w:type="dxa"/>
            <w:tcBorders>
              <w:top w:val="nil"/>
              <w:left w:val="nil"/>
              <w:bottom w:val="nil"/>
              <w:right w:val="nil"/>
            </w:tcBorders>
          </w:tcPr>
          <w:p w14:paraId="3EE87C0E" w14:textId="77777777" w:rsidR="00A14A03" w:rsidRPr="00062EAD" w:rsidRDefault="00A14A03" w:rsidP="00AE2262">
            <w:pPr>
              <w:jc w:val="center"/>
              <w:rPr>
                <w:rFonts w:ascii="Times New Roman" w:eastAsia="Calibri" w:hAnsi="Times New Roman" w:cs="Times New Roman"/>
                <w:sz w:val="22"/>
                <w:szCs w:val="22"/>
              </w:rPr>
            </w:pPr>
          </w:p>
        </w:tc>
      </w:tr>
      <w:tr w:rsidR="00A14A03" w:rsidRPr="00062EAD" w14:paraId="5588F8ED" w14:textId="77777777" w:rsidTr="00AE2262">
        <w:tc>
          <w:tcPr>
            <w:tcW w:w="3150" w:type="dxa"/>
            <w:tcBorders>
              <w:top w:val="nil"/>
              <w:left w:val="nil"/>
              <w:bottom w:val="nil"/>
              <w:right w:val="nil"/>
            </w:tcBorders>
            <w:shd w:val="clear" w:color="auto" w:fill="auto"/>
          </w:tcPr>
          <w:p w14:paraId="318BD3B2" w14:textId="77777777" w:rsidR="00A14A03" w:rsidRPr="00062EAD" w:rsidRDefault="00A14A03" w:rsidP="00AE2262">
            <w:pPr>
              <w:ind w:left="-36" w:right="-108" w:hanging="54"/>
              <w:rPr>
                <w:rFonts w:ascii="Times New Roman" w:eastAsia="Calibri" w:hAnsi="Times New Roman" w:cs="Times New Roman"/>
                <w:sz w:val="22"/>
                <w:szCs w:val="22"/>
              </w:rPr>
            </w:pPr>
            <w:r w:rsidRPr="00062EAD">
              <w:rPr>
                <w:rFonts w:ascii="Times New Roman" w:eastAsia="Calibri" w:hAnsi="Times New Roman" w:cs="Times New Roman"/>
                <w:sz w:val="22"/>
                <w:szCs w:val="22"/>
              </w:rPr>
              <w:t>Calendar year fixed effects</w:t>
            </w:r>
          </w:p>
        </w:tc>
        <w:tc>
          <w:tcPr>
            <w:tcW w:w="1740" w:type="dxa"/>
            <w:tcBorders>
              <w:top w:val="nil"/>
              <w:left w:val="nil"/>
              <w:bottom w:val="nil"/>
              <w:right w:val="nil"/>
            </w:tcBorders>
          </w:tcPr>
          <w:p w14:paraId="5C452842" w14:textId="77777777" w:rsidR="00A14A03" w:rsidRPr="00062EAD" w:rsidRDefault="00A14A03" w:rsidP="00AE2262">
            <w:pPr>
              <w:jc w:val="center"/>
              <w:rPr>
                <w:rFonts w:ascii="Times New Roman" w:eastAsia="Calibri" w:hAnsi="Times New Roman" w:cs="Times New Roman"/>
                <w:sz w:val="22"/>
                <w:szCs w:val="22"/>
              </w:rPr>
            </w:pPr>
            <w:r w:rsidRPr="00062EAD">
              <w:rPr>
                <w:rFonts w:ascii="Times New Roman" w:eastAsia="Calibri" w:hAnsi="Times New Roman" w:cs="Times New Roman"/>
                <w:sz w:val="22"/>
                <w:szCs w:val="22"/>
              </w:rPr>
              <w:t>No</w:t>
            </w:r>
          </w:p>
        </w:tc>
        <w:tc>
          <w:tcPr>
            <w:tcW w:w="1830" w:type="dxa"/>
            <w:tcBorders>
              <w:top w:val="nil"/>
              <w:left w:val="nil"/>
              <w:bottom w:val="nil"/>
              <w:right w:val="nil"/>
            </w:tcBorders>
          </w:tcPr>
          <w:p w14:paraId="64264896" w14:textId="77777777" w:rsidR="00A14A03" w:rsidRPr="00062EAD" w:rsidRDefault="00A14A03" w:rsidP="00AE2262">
            <w:pPr>
              <w:jc w:val="center"/>
              <w:rPr>
                <w:rFonts w:ascii="Times New Roman" w:eastAsia="Calibri" w:hAnsi="Times New Roman" w:cs="Times New Roman"/>
                <w:sz w:val="22"/>
                <w:szCs w:val="22"/>
              </w:rPr>
            </w:pPr>
            <w:r w:rsidRPr="00062EAD">
              <w:rPr>
                <w:rFonts w:ascii="Times New Roman" w:eastAsia="Calibri" w:hAnsi="Times New Roman" w:cs="Times New Roman"/>
                <w:sz w:val="22"/>
                <w:szCs w:val="22"/>
              </w:rPr>
              <w:t>Yes</w:t>
            </w:r>
          </w:p>
        </w:tc>
        <w:tc>
          <w:tcPr>
            <w:tcW w:w="1830" w:type="dxa"/>
            <w:tcBorders>
              <w:top w:val="nil"/>
              <w:left w:val="nil"/>
              <w:bottom w:val="nil"/>
              <w:right w:val="nil"/>
            </w:tcBorders>
          </w:tcPr>
          <w:p w14:paraId="2BBB8FD0" w14:textId="77777777" w:rsidR="00A14A03" w:rsidRPr="00062EAD" w:rsidRDefault="00A14A03" w:rsidP="00AE2262">
            <w:pPr>
              <w:jc w:val="center"/>
              <w:rPr>
                <w:rFonts w:ascii="Times New Roman" w:eastAsia="Calibri" w:hAnsi="Times New Roman" w:cs="Times New Roman"/>
                <w:sz w:val="22"/>
                <w:szCs w:val="22"/>
              </w:rPr>
            </w:pPr>
          </w:p>
        </w:tc>
      </w:tr>
      <w:tr w:rsidR="00A14A03" w:rsidRPr="00062EAD" w14:paraId="1ED5DD01" w14:textId="77777777" w:rsidTr="00AE2262">
        <w:tc>
          <w:tcPr>
            <w:tcW w:w="3150" w:type="dxa"/>
            <w:tcBorders>
              <w:top w:val="nil"/>
              <w:left w:val="nil"/>
              <w:bottom w:val="nil"/>
              <w:right w:val="nil"/>
            </w:tcBorders>
            <w:shd w:val="clear" w:color="auto" w:fill="auto"/>
          </w:tcPr>
          <w:p w14:paraId="02C27830" w14:textId="77777777" w:rsidR="00A14A03" w:rsidRPr="00062EAD" w:rsidRDefault="00A14A03" w:rsidP="00AE2262">
            <w:pPr>
              <w:ind w:left="-36" w:right="-108" w:hanging="54"/>
              <w:rPr>
                <w:rFonts w:ascii="Times New Roman" w:eastAsia="Calibri" w:hAnsi="Times New Roman" w:cs="Times New Roman"/>
                <w:sz w:val="22"/>
                <w:szCs w:val="22"/>
              </w:rPr>
            </w:pPr>
          </w:p>
        </w:tc>
        <w:tc>
          <w:tcPr>
            <w:tcW w:w="1740" w:type="dxa"/>
            <w:tcBorders>
              <w:top w:val="nil"/>
              <w:left w:val="nil"/>
              <w:bottom w:val="nil"/>
              <w:right w:val="nil"/>
            </w:tcBorders>
          </w:tcPr>
          <w:p w14:paraId="798985FA" w14:textId="77777777" w:rsidR="00A14A03" w:rsidRPr="00062EAD" w:rsidRDefault="00A14A03" w:rsidP="00AE2262">
            <w:pPr>
              <w:jc w:val="center"/>
              <w:rPr>
                <w:rFonts w:ascii="Times New Roman" w:eastAsia="Calibri" w:hAnsi="Times New Roman" w:cs="Times New Roman"/>
                <w:sz w:val="22"/>
                <w:szCs w:val="22"/>
              </w:rPr>
            </w:pPr>
          </w:p>
        </w:tc>
        <w:tc>
          <w:tcPr>
            <w:tcW w:w="1830" w:type="dxa"/>
            <w:tcBorders>
              <w:top w:val="nil"/>
              <w:left w:val="nil"/>
              <w:bottom w:val="nil"/>
              <w:right w:val="nil"/>
            </w:tcBorders>
          </w:tcPr>
          <w:p w14:paraId="2BE5BF09" w14:textId="77777777" w:rsidR="00A14A03" w:rsidRPr="00062EAD" w:rsidRDefault="00A14A03" w:rsidP="00AE2262">
            <w:pPr>
              <w:jc w:val="center"/>
              <w:rPr>
                <w:rFonts w:ascii="Times New Roman" w:eastAsia="Calibri" w:hAnsi="Times New Roman" w:cs="Times New Roman"/>
                <w:sz w:val="22"/>
                <w:szCs w:val="22"/>
              </w:rPr>
            </w:pPr>
          </w:p>
        </w:tc>
        <w:tc>
          <w:tcPr>
            <w:tcW w:w="1830" w:type="dxa"/>
            <w:tcBorders>
              <w:top w:val="nil"/>
              <w:left w:val="nil"/>
              <w:bottom w:val="nil"/>
              <w:right w:val="nil"/>
            </w:tcBorders>
          </w:tcPr>
          <w:p w14:paraId="27DE8660" w14:textId="77777777" w:rsidR="00A14A03" w:rsidRPr="00062EAD" w:rsidRDefault="00A14A03" w:rsidP="00AE2262">
            <w:pPr>
              <w:jc w:val="center"/>
              <w:rPr>
                <w:rFonts w:ascii="Times New Roman" w:eastAsia="Calibri" w:hAnsi="Times New Roman" w:cs="Times New Roman"/>
                <w:sz w:val="22"/>
                <w:szCs w:val="22"/>
              </w:rPr>
            </w:pPr>
          </w:p>
        </w:tc>
      </w:tr>
      <w:tr w:rsidR="00A14A03" w:rsidRPr="00062EAD" w14:paraId="400CD08B" w14:textId="77777777" w:rsidTr="00AE2262">
        <w:tc>
          <w:tcPr>
            <w:tcW w:w="3150" w:type="dxa"/>
            <w:tcBorders>
              <w:top w:val="nil"/>
              <w:left w:val="nil"/>
              <w:bottom w:val="nil"/>
              <w:right w:val="nil"/>
            </w:tcBorders>
            <w:shd w:val="clear" w:color="auto" w:fill="auto"/>
            <w:hideMark/>
          </w:tcPr>
          <w:p w14:paraId="0D8C37D3" w14:textId="77777777" w:rsidR="00A14A03" w:rsidRPr="00062EAD" w:rsidRDefault="00A14A03" w:rsidP="00AE2262">
            <w:pPr>
              <w:ind w:left="-36" w:right="-108" w:hanging="54"/>
              <w:rPr>
                <w:rFonts w:ascii="Times New Roman" w:eastAsia="Calibri" w:hAnsi="Times New Roman" w:cs="Times New Roman"/>
                <w:sz w:val="22"/>
                <w:szCs w:val="22"/>
              </w:rPr>
            </w:pPr>
            <w:r w:rsidRPr="00062EAD">
              <w:rPr>
                <w:rFonts w:ascii="Times New Roman" w:eastAsia="Calibri" w:hAnsi="Times New Roman" w:cs="Times New Roman"/>
                <w:sz w:val="22"/>
                <w:szCs w:val="22"/>
              </w:rPr>
              <w:t>N</w:t>
            </w:r>
          </w:p>
        </w:tc>
        <w:tc>
          <w:tcPr>
            <w:tcW w:w="1740" w:type="dxa"/>
            <w:tcBorders>
              <w:top w:val="nil"/>
              <w:left w:val="nil"/>
              <w:bottom w:val="nil"/>
              <w:right w:val="nil"/>
            </w:tcBorders>
          </w:tcPr>
          <w:p w14:paraId="57463F91" w14:textId="77777777" w:rsidR="00A14A03" w:rsidRPr="00062EAD" w:rsidRDefault="00A14A03" w:rsidP="00AE2262">
            <w:pPr>
              <w:jc w:val="center"/>
              <w:rPr>
                <w:rFonts w:ascii="Times New Roman" w:eastAsia="Calibri" w:hAnsi="Times New Roman" w:cs="Times New Roman"/>
                <w:sz w:val="22"/>
                <w:szCs w:val="22"/>
              </w:rPr>
            </w:pPr>
            <w:r w:rsidRPr="00062EAD">
              <w:rPr>
                <w:rFonts w:ascii="Times New Roman" w:eastAsia="Calibri" w:hAnsi="Times New Roman" w:cs="Times New Roman"/>
                <w:sz w:val="22"/>
                <w:szCs w:val="22"/>
              </w:rPr>
              <w:t>668</w:t>
            </w:r>
          </w:p>
        </w:tc>
        <w:tc>
          <w:tcPr>
            <w:tcW w:w="1830" w:type="dxa"/>
            <w:tcBorders>
              <w:top w:val="nil"/>
              <w:left w:val="nil"/>
              <w:bottom w:val="nil"/>
              <w:right w:val="nil"/>
            </w:tcBorders>
          </w:tcPr>
          <w:p w14:paraId="3D017412" w14:textId="77777777" w:rsidR="00A14A03" w:rsidRPr="00062EAD" w:rsidRDefault="00A14A03" w:rsidP="00AE2262">
            <w:pPr>
              <w:jc w:val="center"/>
              <w:rPr>
                <w:rFonts w:ascii="Times New Roman" w:eastAsia="Calibri" w:hAnsi="Times New Roman" w:cs="Times New Roman"/>
                <w:sz w:val="22"/>
                <w:szCs w:val="22"/>
              </w:rPr>
            </w:pPr>
            <w:r w:rsidRPr="00062EAD">
              <w:rPr>
                <w:rFonts w:ascii="Times New Roman" w:eastAsia="Calibri" w:hAnsi="Times New Roman" w:cs="Times New Roman"/>
                <w:sz w:val="22"/>
                <w:szCs w:val="22"/>
              </w:rPr>
              <w:t>668</w:t>
            </w:r>
          </w:p>
        </w:tc>
        <w:tc>
          <w:tcPr>
            <w:tcW w:w="1830" w:type="dxa"/>
            <w:tcBorders>
              <w:top w:val="nil"/>
              <w:left w:val="nil"/>
              <w:bottom w:val="nil"/>
              <w:right w:val="nil"/>
            </w:tcBorders>
          </w:tcPr>
          <w:p w14:paraId="7BCE9A92" w14:textId="77777777" w:rsidR="00A14A03" w:rsidRPr="00062EAD" w:rsidRDefault="00A14A03" w:rsidP="00AE2262">
            <w:pPr>
              <w:jc w:val="center"/>
              <w:rPr>
                <w:rFonts w:ascii="Times New Roman" w:eastAsia="Calibri" w:hAnsi="Times New Roman" w:cs="Times New Roman"/>
                <w:sz w:val="22"/>
                <w:szCs w:val="22"/>
              </w:rPr>
            </w:pPr>
          </w:p>
        </w:tc>
      </w:tr>
      <w:tr w:rsidR="00A14A03" w:rsidRPr="00062EAD" w14:paraId="3EC07C24" w14:textId="77777777" w:rsidTr="00AE2262">
        <w:tc>
          <w:tcPr>
            <w:tcW w:w="3150" w:type="dxa"/>
            <w:tcBorders>
              <w:top w:val="nil"/>
              <w:left w:val="nil"/>
              <w:bottom w:val="single" w:sz="4" w:space="0" w:color="auto"/>
              <w:right w:val="nil"/>
            </w:tcBorders>
            <w:shd w:val="clear" w:color="auto" w:fill="auto"/>
            <w:hideMark/>
          </w:tcPr>
          <w:p w14:paraId="46A947ED" w14:textId="77777777" w:rsidR="00A14A03" w:rsidRPr="00062EAD" w:rsidRDefault="00A14A03" w:rsidP="00AE2262">
            <w:pPr>
              <w:ind w:left="-36" w:right="-108" w:hanging="54"/>
              <w:rPr>
                <w:rFonts w:ascii="Times New Roman" w:eastAsia="Calibri" w:hAnsi="Times New Roman" w:cs="Times New Roman"/>
                <w:sz w:val="22"/>
                <w:szCs w:val="22"/>
              </w:rPr>
            </w:pPr>
            <w:r w:rsidRPr="00062EAD">
              <w:rPr>
                <w:rFonts w:ascii="Times New Roman" w:eastAsia="Calibri" w:hAnsi="Times New Roman" w:cs="Times New Roman"/>
                <w:sz w:val="22"/>
                <w:szCs w:val="22"/>
              </w:rPr>
              <w:t>Adjusted R</w:t>
            </w:r>
            <w:r w:rsidRPr="00062EAD">
              <w:rPr>
                <w:rFonts w:ascii="Times New Roman" w:eastAsia="Calibri" w:hAnsi="Times New Roman" w:cs="Times New Roman"/>
                <w:sz w:val="22"/>
                <w:szCs w:val="22"/>
                <w:vertAlign w:val="superscript"/>
              </w:rPr>
              <w:t>2</w:t>
            </w:r>
          </w:p>
        </w:tc>
        <w:tc>
          <w:tcPr>
            <w:tcW w:w="1740" w:type="dxa"/>
            <w:tcBorders>
              <w:top w:val="nil"/>
              <w:left w:val="nil"/>
              <w:bottom w:val="single" w:sz="4" w:space="0" w:color="auto"/>
              <w:right w:val="nil"/>
            </w:tcBorders>
          </w:tcPr>
          <w:p w14:paraId="67392A5C" w14:textId="77777777" w:rsidR="00A14A03" w:rsidRPr="00062EAD" w:rsidRDefault="00A14A03" w:rsidP="00AE2262">
            <w:pPr>
              <w:jc w:val="center"/>
              <w:rPr>
                <w:rFonts w:ascii="Times New Roman" w:eastAsia="Calibri" w:hAnsi="Times New Roman" w:cs="Times New Roman"/>
                <w:sz w:val="22"/>
                <w:szCs w:val="22"/>
              </w:rPr>
            </w:pPr>
            <w:r w:rsidRPr="00062EAD">
              <w:rPr>
                <w:rFonts w:ascii="Times New Roman" w:eastAsia="Calibri" w:hAnsi="Times New Roman" w:cs="Times New Roman"/>
                <w:sz w:val="22"/>
                <w:szCs w:val="22"/>
              </w:rPr>
              <w:t>4.12%</w:t>
            </w:r>
          </w:p>
        </w:tc>
        <w:tc>
          <w:tcPr>
            <w:tcW w:w="1830" w:type="dxa"/>
            <w:tcBorders>
              <w:top w:val="nil"/>
              <w:left w:val="nil"/>
              <w:bottom w:val="single" w:sz="4" w:space="0" w:color="auto"/>
              <w:right w:val="nil"/>
            </w:tcBorders>
          </w:tcPr>
          <w:p w14:paraId="171AEE68" w14:textId="77777777" w:rsidR="00A14A03" w:rsidRPr="00062EAD" w:rsidRDefault="00A14A03" w:rsidP="00AE2262">
            <w:pPr>
              <w:jc w:val="center"/>
              <w:rPr>
                <w:rFonts w:ascii="Times New Roman" w:eastAsia="Calibri" w:hAnsi="Times New Roman" w:cs="Times New Roman"/>
                <w:sz w:val="22"/>
                <w:szCs w:val="22"/>
              </w:rPr>
            </w:pPr>
            <w:r w:rsidRPr="00062EAD">
              <w:rPr>
                <w:rFonts w:ascii="Times New Roman" w:eastAsia="Calibri" w:hAnsi="Times New Roman" w:cs="Times New Roman"/>
                <w:sz w:val="22"/>
                <w:szCs w:val="22"/>
              </w:rPr>
              <w:t>83.21%</w:t>
            </w:r>
          </w:p>
        </w:tc>
        <w:tc>
          <w:tcPr>
            <w:tcW w:w="1830" w:type="dxa"/>
            <w:tcBorders>
              <w:top w:val="nil"/>
              <w:left w:val="nil"/>
              <w:bottom w:val="single" w:sz="4" w:space="0" w:color="auto"/>
              <w:right w:val="nil"/>
            </w:tcBorders>
          </w:tcPr>
          <w:p w14:paraId="7F38BD3B" w14:textId="77777777" w:rsidR="00A14A03" w:rsidRPr="00062EAD" w:rsidRDefault="00A14A03" w:rsidP="00AE2262">
            <w:pPr>
              <w:jc w:val="center"/>
              <w:rPr>
                <w:rFonts w:ascii="Times New Roman" w:eastAsia="Calibri" w:hAnsi="Times New Roman" w:cs="Times New Roman"/>
                <w:sz w:val="22"/>
                <w:szCs w:val="22"/>
              </w:rPr>
            </w:pPr>
          </w:p>
        </w:tc>
      </w:tr>
    </w:tbl>
    <w:p w14:paraId="796746B8" w14:textId="77777777" w:rsidR="00A14A03" w:rsidRPr="00062EAD" w:rsidRDefault="00A14A03" w:rsidP="00A14A03">
      <w:pPr>
        <w:rPr>
          <w:rFonts w:ascii="Times New Roman" w:hAnsi="Times New Roman" w:cs="Times New Roman"/>
          <w:sz w:val="22"/>
          <w:szCs w:val="22"/>
        </w:rPr>
      </w:pPr>
    </w:p>
    <w:p w14:paraId="0A10F24A" w14:textId="77777777" w:rsidR="00A14A03" w:rsidRDefault="00A14A03" w:rsidP="00A14A03"/>
    <w:p w14:paraId="17971F8D" w14:textId="77777777" w:rsidR="00B95A2D" w:rsidRPr="007A5E01" w:rsidRDefault="00B95A2D">
      <w:pPr>
        <w:rPr>
          <w:rFonts w:ascii="Times New Roman" w:hAnsi="Times New Roman" w:cs="Times New Roman"/>
        </w:rPr>
      </w:pPr>
    </w:p>
    <w:p w14:paraId="10059BF5" w14:textId="77777777" w:rsidR="00B95A2D" w:rsidRDefault="00B95A2D">
      <w:pPr>
        <w:rPr>
          <w:rFonts w:ascii="Times New Roman" w:hAnsi="Times New Roman" w:cs="Times New Roman"/>
        </w:rPr>
      </w:pPr>
    </w:p>
    <w:p w14:paraId="6FB193B7" w14:textId="77777777" w:rsidR="007A5E01" w:rsidRDefault="007A5E01">
      <w:pPr>
        <w:rPr>
          <w:rFonts w:ascii="Times New Roman" w:hAnsi="Times New Roman" w:cs="Times New Roman"/>
        </w:rPr>
      </w:pPr>
    </w:p>
    <w:p w14:paraId="0A7CD543" w14:textId="77777777" w:rsidR="007A5E01" w:rsidRDefault="007A5E01">
      <w:pPr>
        <w:rPr>
          <w:rFonts w:ascii="Times New Roman" w:hAnsi="Times New Roman" w:cs="Times New Roman"/>
        </w:rPr>
      </w:pPr>
    </w:p>
    <w:p w14:paraId="720E0F87" w14:textId="77777777" w:rsidR="007A5E01" w:rsidRDefault="007A5E01">
      <w:pPr>
        <w:rPr>
          <w:rFonts w:ascii="Times New Roman" w:hAnsi="Times New Roman" w:cs="Times New Roman"/>
        </w:rPr>
      </w:pPr>
    </w:p>
    <w:p w14:paraId="65F3DB12" w14:textId="77777777" w:rsidR="007A5E01" w:rsidRPr="007A5E01" w:rsidRDefault="007A5E01">
      <w:pPr>
        <w:rPr>
          <w:rFonts w:ascii="Times New Roman" w:hAnsi="Times New Roman" w:cs="Times New Roman"/>
        </w:rPr>
      </w:pPr>
    </w:p>
    <w:p w14:paraId="34DE58D5" w14:textId="77777777" w:rsidR="00B95A2D" w:rsidRPr="007A5E01" w:rsidRDefault="00B95A2D">
      <w:pPr>
        <w:rPr>
          <w:rFonts w:ascii="Times New Roman" w:hAnsi="Times New Roman" w:cs="Times New Roman"/>
        </w:rPr>
      </w:pPr>
    </w:p>
    <w:p w14:paraId="5102C622" w14:textId="77777777" w:rsidR="00B95A2D" w:rsidRPr="00400D06" w:rsidRDefault="00B95A2D">
      <w:pPr>
        <w:rPr>
          <w:rFonts w:ascii="Times New Roman" w:hAnsi="Times New Roman" w:cs="Times New Roman"/>
        </w:rPr>
      </w:pPr>
    </w:p>
    <w:p w14:paraId="7277EFA0" w14:textId="77777777" w:rsidR="00B95A2D" w:rsidRPr="000E33A5" w:rsidRDefault="00B95A2D">
      <w:pPr>
        <w:rPr>
          <w:rFonts w:ascii="Times New Roman" w:hAnsi="Times New Roman" w:cs="Times New Roman"/>
        </w:rPr>
      </w:pPr>
    </w:p>
    <w:p w14:paraId="0CAC6D62" w14:textId="6AD0EBDA" w:rsidR="00D83F7F" w:rsidRDefault="00D83F7F">
      <w:pPr>
        <w:rPr>
          <w:rFonts w:ascii="Times New Roman" w:hAnsi="Times New Roman" w:cs="Times New Roman"/>
        </w:rPr>
      </w:pPr>
    </w:p>
    <w:sectPr w:rsidR="00D83F7F" w:rsidSect="006B183F">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B90044" w14:textId="77777777" w:rsidR="008701C1" w:rsidRDefault="008701C1" w:rsidP="00C7698A">
      <w:r>
        <w:separator/>
      </w:r>
    </w:p>
  </w:endnote>
  <w:endnote w:type="continuationSeparator" w:id="0">
    <w:p w14:paraId="560FB526" w14:textId="77777777" w:rsidR="008701C1" w:rsidRDefault="008701C1" w:rsidP="00C769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Lucida Grande">
    <w:altName w:val="Times New Roman"/>
    <w:panose1 w:val="020B0600040502020204"/>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8D9549" w14:textId="77777777" w:rsidR="008701C1" w:rsidRDefault="008701C1" w:rsidP="00C7698A">
      <w:r>
        <w:separator/>
      </w:r>
    </w:p>
  </w:footnote>
  <w:footnote w:type="continuationSeparator" w:id="0">
    <w:p w14:paraId="34C56D89" w14:textId="77777777" w:rsidR="008701C1" w:rsidRDefault="008701C1" w:rsidP="00C7698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AA81D7A"/>
    <w:multiLevelType w:val="hybridMultilevel"/>
    <w:tmpl w:val="93F8F5E6"/>
    <w:lvl w:ilvl="0" w:tplc="61AA1B32">
      <w:start w:val="3"/>
      <w:numFmt w:val="bullet"/>
      <w:lvlText w:val=""/>
      <w:lvlJc w:val="left"/>
      <w:pPr>
        <w:ind w:left="720" w:hanging="360"/>
      </w:pPr>
      <w:rPr>
        <w:rFonts w:ascii="Symbol" w:eastAsia="Times New Roman"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removePersonalInformation/>
  <w:removeDateAndTime/>
  <w:hideSpellingErrors/>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76C"/>
    <w:rsid w:val="00001E99"/>
    <w:rsid w:val="00025757"/>
    <w:rsid w:val="00032BD9"/>
    <w:rsid w:val="000331CB"/>
    <w:rsid w:val="00034888"/>
    <w:rsid w:val="00036AD7"/>
    <w:rsid w:val="000376BB"/>
    <w:rsid w:val="00050165"/>
    <w:rsid w:val="0005332F"/>
    <w:rsid w:val="000540FF"/>
    <w:rsid w:val="00054892"/>
    <w:rsid w:val="00062643"/>
    <w:rsid w:val="000627C7"/>
    <w:rsid w:val="00062EAD"/>
    <w:rsid w:val="00081961"/>
    <w:rsid w:val="00086632"/>
    <w:rsid w:val="00091FD2"/>
    <w:rsid w:val="000A13CF"/>
    <w:rsid w:val="000A2A98"/>
    <w:rsid w:val="000A51D9"/>
    <w:rsid w:val="000B78CC"/>
    <w:rsid w:val="000C52AC"/>
    <w:rsid w:val="000C70BA"/>
    <w:rsid w:val="000D4343"/>
    <w:rsid w:val="000D469A"/>
    <w:rsid w:val="000D7ECC"/>
    <w:rsid w:val="000E0938"/>
    <w:rsid w:val="000E09E8"/>
    <w:rsid w:val="000E33A5"/>
    <w:rsid w:val="000E5813"/>
    <w:rsid w:val="000F7072"/>
    <w:rsid w:val="000F77F2"/>
    <w:rsid w:val="001541B5"/>
    <w:rsid w:val="00157147"/>
    <w:rsid w:val="00172278"/>
    <w:rsid w:val="00173B7F"/>
    <w:rsid w:val="001A162C"/>
    <w:rsid w:val="001B277A"/>
    <w:rsid w:val="001D0B27"/>
    <w:rsid w:val="001E1427"/>
    <w:rsid w:val="001F37F4"/>
    <w:rsid w:val="001F699E"/>
    <w:rsid w:val="0020106B"/>
    <w:rsid w:val="00210CAD"/>
    <w:rsid w:val="00243DCE"/>
    <w:rsid w:val="00246A6D"/>
    <w:rsid w:val="0025363E"/>
    <w:rsid w:val="00261086"/>
    <w:rsid w:val="002B2204"/>
    <w:rsid w:val="002C127D"/>
    <w:rsid w:val="002D2975"/>
    <w:rsid w:val="002E6FEB"/>
    <w:rsid w:val="002F0642"/>
    <w:rsid w:val="003112C2"/>
    <w:rsid w:val="00312C9E"/>
    <w:rsid w:val="00312CD6"/>
    <w:rsid w:val="00316745"/>
    <w:rsid w:val="00327B19"/>
    <w:rsid w:val="00332F9D"/>
    <w:rsid w:val="00342B18"/>
    <w:rsid w:val="0034393E"/>
    <w:rsid w:val="00350286"/>
    <w:rsid w:val="0036307D"/>
    <w:rsid w:val="003757D1"/>
    <w:rsid w:val="00377B7D"/>
    <w:rsid w:val="0039552A"/>
    <w:rsid w:val="003A69D0"/>
    <w:rsid w:val="003B1EF1"/>
    <w:rsid w:val="003C4104"/>
    <w:rsid w:val="003C668E"/>
    <w:rsid w:val="003D209D"/>
    <w:rsid w:val="003F6E91"/>
    <w:rsid w:val="00400D06"/>
    <w:rsid w:val="00406C07"/>
    <w:rsid w:val="00416906"/>
    <w:rsid w:val="0042246A"/>
    <w:rsid w:val="00423FDA"/>
    <w:rsid w:val="00427DBA"/>
    <w:rsid w:val="004306CA"/>
    <w:rsid w:val="00437D03"/>
    <w:rsid w:val="00445453"/>
    <w:rsid w:val="00452A85"/>
    <w:rsid w:val="004635D4"/>
    <w:rsid w:val="00466C38"/>
    <w:rsid w:val="0047476C"/>
    <w:rsid w:val="0047771F"/>
    <w:rsid w:val="00486B06"/>
    <w:rsid w:val="00490BC8"/>
    <w:rsid w:val="00492D75"/>
    <w:rsid w:val="004D28B1"/>
    <w:rsid w:val="004D2B01"/>
    <w:rsid w:val="004D40BB"/>
    <w:rsid w:val="004E02A5"/>
    <w:rsid w:val="004E28B5"/>
    <w:rsid w:val="004E3D8E"/>
    <w:rsid w:val="004E7B01"/>
    <w:rsid w:val="004F18F4"/>
    <w:rsid w:val="005041D9"/>
    <w:rsid w:val="00505B56"/>
    <w:rsid w:val="00506763"/>
    <w:rsid w:val="00507FE3"/>
    <w:rsid w:val="00512C58"/>
    <w:rsid w:val="00514EDC"/>
    <w:rsid w:val="00520BC6"/>
    <w:rsid w:val="005324B8"/>
    <w:rsid w:val="005337CC"/>
    <w:rsid w:val="0055145C"/>
    <w:rsid w:val="00552152"/>
    <w:rsid w:val="00564C16"/>
    <w:rsid w:val="00566F1A"/>
    <w:rsid w:val="005757A5"/>
    <w:rsid w:val="00575EA9"/>
    <w:rsid w:val="005919EC"/>
    <w:rsid w:val="00591D22"/>
    <w:rsid w:val="005952EB"/>
    <w:rsid w:val="005A0F21"/>
    <w:rsid w:val="005A3881"/>
    <w:rsid w:val="005A66DE"/>
    <w:rsid w:val="005B02B3"/>
    <w:rsid w:val="005B48CA"/>
    <w:rsid w:val="005C404E"/>
    <w:rsid w:val="005E3556"/>
    <w:rsid w:val="005F0BDB"/>
    <w:rsid w:val="005F3FEA"/>
    <w:rsid w:val="005F60FF"/>
    <w:rsid w:val="00602BC1"/>
    <w:rsid w:val="00623B07"/>
    <w:rsid w:val="00625208"/>
    <w:rsid w:val="00630F1D"/>
    <w:rsid w:val="0063299D"/>
    <w:rsid w:val="0064000D"/>
    <w:rsid w:val="00647D77"/>
    <w:rsid w:val="00650726"/>
    <w:rsid w:val="00662299"/>
    <w:rsid w:val="00670396"/>
    <w:rsid w:val="006727E1"/>
    <w:rsid w:val="0068691F"/>
    <w:rsid w:val="0068746D"/>
    <w:rsid w:val="00691AF2"/>
    <w:rsid w:val="00695058"/>
    <w:rsid w:val="006A6A86"/>
    <w:rsid w:val="006B183F"/>
    <w:rsid w:val="006B2088"/>
    <w:rsid w:val="006D1FA3"/>
    <w:rsid w:val="006D21A7"/>
    <w:rsid w:val="006D68FF"/>
    <w:rsid w:val="006F02FF"/>
    <w:rsid w:val="006F6E3C"/>
    <w:rsid w:val="00711ACB"/>
    <w:rsid w:val="00713778"/>
    <w:rsid w:val="007140BE"/>
    <w:rsid w:val="00733532"/>
    <w:rsid w:val="00737E77"/>
    <w:rsid w:val="007431D4"/>
    <w:rsid w:val="00745134"/>
    <w:rsid w:val="007654A8"/>
    <w:rsid w:val="00783479"/>
    <w:rsid w:val="00790998"/>
    <w:rsid w:val="007961A5"/>
    <w:rsid w:val="007962FD"/>
    <w:rsid w:val="007A5E01"/>
    <w:rsid w:val="007B0B06"/>
    <w:rsid w:val="007B35D0"/>
    <w:rsid w:val="007C6D57"/>
    <w:rsid w:val="007C6FF2"/>
    <w:rsid w:val="007D44D4"/>
    <w:rsid w:val="00830A5D"/>
    <w:rsid w:val="00840842"/>
    <w:rsid w:val="00841B68"/>
    <w:rsid w:val="00843468"/>
    <w:rsid w:val="0085130A"/>
    <w:rsid w:val="008564C9"/>
    <w:rsid w:val="00856FE0"/>
    <w:rsid w:val="00861576"/>
    <w:rsid w:val="008616A0"/>
    <w:rsid w:val="00862F85"/>
    <w:rsid w:val="008701C1"/>
    <w:rsid w:val="0088651A"/>
    <w:rsid w:val="0088687F"/>
    <w:rsid w:val="00886D0E"/>
    <w:rsid w:val="0089767E"/>
    <w:rsid w:val="008B687A"/>
    <w:rsid w:val="008D40A4"/>
    <w:rsid w:val="008F3912"/>
    <w:rsid w:val="0091575F"/>
    <w:rsid w:val="00927884"/>
    <w:rsid w:val="00937A2A"/>
    <w:rsid w:val="0094551F"/>
    <w:rsid w:val="00980720"/>
    <w:rsid w:val="00982A63"/>
    <w:rsid w:val="009A018E"/>
    <w:rsid w:val="009C4C73"/>
    <w:rsid w:val="009C630B"/>
    <w:rsid w:val="009E10A5"/>
    <w:rsid w:val="009E421C"/>
    <w:rsid w:val="009E4B79"/>
    <w:rsid w:val="009E7360"/>
    <w:rsid w:val="00A03388"/>
    <w:rsid w:val="00A10908"/>
    <w:rsid w:val="00A13CFC"/>
    <w:rsid w:val="00A14A03"/>
    <w:rsid w:val="00A25994"/>
    <w:rsid w:val="00A26DCA"/>
    <w:rsid w:val="00A27FE0"/>
    <w:rsid w:val="00A320E5"/>
    <w:rsid w:val="00A333A5"/>
    <w:rsid w:val="00A36713"/>
    <w:rsid w:val="00A43056"/>
    <w:rsid w:val="00A55573"/>
    <w:rsid w:val="00A63506"/>
    <w:rsid w:val="00A66E61"/>
    <w:rsid w:val="00A709CF"/>
    <w:rsid w:val="00A72A80"/>
    <w:rsid w:val="00A8064E"/>
    <w:rsid w:val="00A94A13"/>
    <w:rsid w:val="00A953FD"/>
    <w:rsid w:val="00A96295"/>
    <w:rsid w:val="00A96E97"/>
    <w:rsid w:val="00AA4854"/>
    <w:rsid w:val="00AA5E2D"/>
    <w:rsid w:val="00AD3AC4"/>
    <w:rsid w:val="00AE0913"/>
    <w:rsid w:val="00AE69D5"/>
    <w:rsid w:val="00AE7B5B"/>
    <w:rsid w:val="00AF1495"/>
    <w:rsid w:val="00AF572F"/>
    <w:rsid w:val="00AF68EE"/>
    <w:rsid w:val="00AF77F9"/>
    <w:rsid w:val="00B01E82"/>
    <w:rsid w:val="00B05321"/>
    <w:rsid w:val="00B07602"/>
    <w:rsid w:val="00B1587D"/>
    <w:rsid w:val="00B21ECE"/>
    <w:rsid w:val="00B27FEF"/>
    <w:rsid w:val="00B301D8"/>
    <w:rsid w:val="00B3251F"/>
    <w:rsid w:val="00B53B39"/>
    <w:rsid w:val="00B6176D"/>
    <w:rsid w:val="00B66ECC"/>
    <w:rsid w:val="00B87C28"/>
    <w:rsid w:val="00B935AF"/>
    <w:rsid w:val="00B954CB"/>
    <w:rsid w:val="00B95A2D"/>
    <w:rsid w:val="00BA5009"/>
    <w:rsid w:val="00BA5CD9"/>
    <w:rsid w:val="00BB0004"/>
    <w:rsid w:val="00BC6846"/>
    <w:rsid w:val="00BC749F"/>
    <w:rsid w:val="00BD329E"/>
    <w:rsid w:val="00BF2D8B"/>
    <w:rsid w:val="00BF5C6B"/>
    <w:rsid w:val="00C07F41"/>
    <w:rsid w:val="00C26711"/>
    <w:rsid w:val="00C26FD0"/>
    <w:rsid w:val="00C35E61"/>
    <w:rsid w:val="00C53859"/>
    <w:rsid w:val="00C53D13"/>
    <w:rsid w:val="00C579D7"/>
    <w:rsid w:val="00C62522"/>
    <w:rsid w:val="00C7698A"/>
    <w:rsid w:val="00C90BF1"/>
    <w:rsid w:val="00CA67AE"/>
    <w:rsid w:val="00CB510C"/>
    <w:rsid w:val="00CE1A8A"/>
    <w:rsid w:val="00CE6596"/>
    <w:rsid w:val="00CF2BE2"/>
    <w:rsid w:val="00CF32B6"/>
    <w:rsid w:val="00CF7970"/>
    <w:rsid w:val="00D02841"/>
    <w:rsid w:val="00D044A9"/>
    <w:rsid w:val="00D070F9"/>
    <w:rsid w:val="00D07B8F"/>
    <w:rsid w:val="00D11276"/>
    <w:rsid w:val="00D17227"/>
    <w:rsid w:val="00D2089C"/>
    <w:rsid w:val="00D23907"/>
    <w:rsid w:val="00D26607"/>
    <w:rsid w:val="00D4083A"/>
    <w:rsid w:val="00D715C2"/>
    <w:rsid w:val="00D83F7F"/>
    <w:rsid w:val="00D92074"/>
    <w:rsid w:val="00D964C2"/>
    <w:rsid w:val="00DB295B"/>
    <w:rsid w:val="00DC56B8"/>
    <w:rsid w:val="00DC689D"/>
    <w:rsid w:val="00DD4D2E"/>
    <w:rsid w:val="00DE3EC8"/>
    <w:rsid w:val="00DE4313"/>
    <w:rsid w:val="00E0772E"/>
    <w:rsid w:val="00E151B9"/>
    <w:rsid w:val="00E2718A"/>
    <w:rsid w:val="00E27697"/>
    <w:rsid w:val="00E339E4"/>
    <w:rsid w:val="00E350A7"/>
    <w:rsid w:val="00E46DBC"/>
    <w:rsid w:val="00E62A3F"/>
    <w:rsid w:val="00E771A5"/>
    <w:rsid w:val="00E83606"/>
    <w:rsid w:val="00EA0875"/>
    <w:rsid w:val="00EA2625"/>
    <w:rsid w:val="00EB10EF"/>
    <w:rsid w:val="00EB1426"/>
    <w:rsid w:val="00EB6403"/>
    <w:rsid w:val="00EC1592"/>
    <w:rsid w:val="00EC277A"/>
    <w:rsid w:val="00EC6DE4"/>
    <w:rsid w:val="00EC701B"/>
    <w:rsid w:val="00ED1802"/>
    <w:rsid w:val="00EF3A84"/>
    <w:rsid w:val="00EF6CA7"/>
    <w:rsid w:val="00F06D90"/>
    <w:rsid w:val="00F142E2"/>
    <w:rsid w:val="00F148DE"/>
    <w:rsid w:val="00F36A78"/>
    <w:rsid w:val="00F53B97"/>
    <w:rsid w:val="00F712E2"/>
    <w:rsid w:val="00F90468"/>
    <w:rsid w:val="00F96014"/>
    <w:rsid w:val="00FA525A"/>
    <w:rsid w:val="00FB39E1"/>
    <w:rsid w:val="00FB7A39"/>
    <w:rsid w:val="00FC4EE4"/>
    <w:rsid w:val="00FD1274"/>
    <w:rsid w:val="00FD7A1B"/>
    <w:rsid w:val="00FE063D"/>
    <w:rsid w:val="00FE3A2E"/>
    <w:rsid w:val="00FF2E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2F778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25994"/>
    <w:pPr>
      <w:spacing w:before="100" w:beforeAutospacing="1" w:after="100" w:afterAutospacing="1"/>
    </w:pPr>
    <w:rPr>
      <w:rFonts w:ascii="Times New Roman" w:hAnsi="Times New Roman" w:cs="Times New Roman"/>
    </w:rPr>
  </w:style>
  <w:style w:type="paragraph" w:styleId="FootnoteText">
    <w:name w:val="footnote text"/>
    <w:basedOn w:val="Normal"/>
    <w:link w:val="FootnoteTextChar"/>
    <w:uiPriority w:val="99"/>
    <w:unhideWhenUsed/>
    <w:rsid w:val="00C7698A"/>
  </w:style>
  <w:style w:type="character" w:customStyle="1" w:styleId="FootnoteTextChar">
    <w:name w:val="Footnote Text Char"/>
    <w:basedOn w:val="DefaultParagraphFont"/>
    <w:link w:val="FootnoteText"/>
    <w:uiPriority w:val="99"/>
    <w:rsid w:val="00C7698A"/>
  </w:style>
  <w:style w:type="character" w:styleId="FootnoteReference">
    <w:name w:val="footnote reference"/>
    <w:basedOn w:val="DefaultParagraphFont"/>
    <w:uiPriority w:val="99"/>
    <w:unhideWhenUsed/>
    <w:rsid w:val="00C7698A"/>
    <w:rPr>
      <w:vertAlign w:val="superscript"/>
    </w:rPr>
  </w:style>
  <w:style w:type="paragraph" w:customStyle="1" w:styleId="p1">
    <w:name w:val="p1"/>
    <w:basedOn w:val="Normal"/>
    <w:rsid w:val="00B21ECE"/>
    <w:pPr>
      <w:shd w:val="clear" w:color="auto" w:fill="FFFFFF"/>
    </w:pPr>
    <w:rPr>
      <w:rFonts w:ascii="Arial" w:eastAsiaTheme="minorHAnsi" w:hAnsi="Arial" w:cs="Arial"/>
      <w:color w:val="222222"/>
      <w:sz w:val="20"/>
      <w:szCs w:val="20"/>
    </w:rPr>
  </w:style>
  <w:style w:type="character" w:customStyle="1" w:styleId="s1">
    <w:name w:val="s1"/>
    <w:basedOn w:val="DefaultParagraphFont"/>
    <w:rsid w:val="00B21ECE"/>
  </w:style>
  <w:style w:type="paragraph" w:styleId="BalloonText">
    <w:name w:val="Balloon Text"/>
    <w:basedOn w:val="Normal"/>
    <w:link w:val="BalloonTextChar"/>
    <w:uiPriority w:val="99"/>
    <w:semiHidden/>
    <w:unhideWhenUsed/>
    <w:rsid w:val="000F77F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F77F2"/>
    <w:rPr>
      <w:rFonts w:ascii="Lucida Grande" w:hAnsi="Lucida Grande" w:cs="Lucida Grande"/>
      <w:sz w:val="18"/>
      <w:szCs w:val="18"/>
    </w:rPr>
  </w:style>
  <w:style w:type="paragraph" w:styleId="ListParagraph">
    <w:name w:val="List Paragraph"/>
    <w:basedOn w:val="Normal"/>
    <w:uiPriority w:val="34"/>
    <w:qFormat/>
    <w:rsid w:val="00400D06"/>
    <w:pPr>
      <w:ind w:left="720"/>
      <w:contextualSpacing/>
    </w:pPr>
  </w:style>
  <w:style w:type="character" w:customStyle="1" w:styleId="apple-converted-space">
    <w:name w:val="apple-converted-space"/>
    <w:basedOn w:val="DefaultParagraphFont"/>
    <w:rsid w:val="003167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582342">
      <w:bodyDiv w:val="1"/>
      <w:marLeft w:val="0"/>
      <w:marRight w:val="0"/>
      <w:marTop w:val="0"/>
      <w:marBottom w:val="0"/>
      <w:divBdr>
        <w:top w:val="none" w:sz="0" w:space="0" w:color="auto"/>
        <w:left w:val="none" w:sz="0" w:space="0" w:color="auto"/>
        <w:bottom w:val="none" w:sz="0" w:space="0" w:color="auto"/>
        <w:right w:val="none" w:sz="0" w:space="0" w:color="auto"/>
      </w:divBdr>
      <w:divsChild>
        <w:div w:id="1934165843">
          <w:marLeft w:val="0"/>
          <w:marRight w:val="0"/>
          <w:marTop w:val="0"/>
          <w:marBottom w:val="0"/>
          <w:divBdr>
            <w:top w:val="none" w:sz="0" w:space="0" w:color="auto"/>
            <w:left w:val="none" w:sz="0" w:space="0" w:color="auto"/>
            <w:bottom w:val="none" w:sz="0" w:space="0" w:color="auto"/>
            <w:right w:val="none" w:sz="0" w:space="0" w:color="auto"/>
          </w:divBdr>
          <w:divsChild>
            <w:div w:id="376004838">
              <w:marLeft w:val="0"/>
              <w:marRight w:val="0"/>
              <w:marTop w:val="0"/>
              <w:marBottom w:val="0"/>
              <w:divBdr>
                <w:top w:val="none" w:sz="0" w:space="0" w:color="auto"/>
                <w:left w:val="none" w:sz="0" w:space="0" w:color="auto"/>
                <w:bottom w:val="none" w:sz="0" w:space="0" w:color="auto"/>
                <w:right w:val="none" w:sz="0" w:space="0" w:color="auto"/>
              </w:divBdr>
              <w:divsChild>
                <w:div w:id="1675763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972709">
      <w:bodyDiv w:val="1"/>
      <w:marLeft w:val="0"/>
      <w:marRight w:val="0"/>
      <w:marTop w:val="0"/>
      <w:marBottom w:val="0"/>
      <w:divBdr>
        <w:top w:val="none" w:sz="0" w:space="0" w:color="auto"/>
        <w:left w:val="none" w:sz="0" w:space="0" w:color="auto"/>
        <w:bottom w:val="none" w:sz="0" w:space="0" w:color="auto"/>
        <w:right w:val="none" w:sz="0" w:space="0" w:color="auto"/>
      </w:divBdr>
      <w:divsChild>
        <w:div w:id="1824079607">
          <w:marLeft w:val="0"/>
          <w:marRight w:val="0"/>
          <w:marTop w:val="0"/>
          <w:marBottom w:val="0"/>
          <w:divBdr>
            <w:top w:val="none" w:sz="0" w:space="0" w:color="auto"/>
            <w:left w:val="none" w:sz="0" w:space="0" w:color="auto"/>
            <w:bottom w:val="none" w:sz="0" w:space="0" w:color="auto"/>
            <w:right w:val="none" w:sz="0" w:space="0" w:color="auto"/>
          </w:divBdr>
          <w:divsChild>
            <w:div w:id="265423879">
              <w:marLeft w:val="0"/>
              <w:marRight w:val="0"/>
              <w:marTop w:val="0"/>
              <w:marBottom w:val="0"/>
              <w:divBdr>
                <w:top w:val="none" w:sz="0" w:space="0" w:color="auto"/>
                <w:left w:val="none" w:sz="0" w:space="0" w:color="auto"/>
                <w:bottom w:val="none" w:sz="0" w:space="0" w:color="auto"/>
                <w:right w:val="none" w:sz="0" w:space="0" w:color="auto"/>
              </w:divBdr>
              <w:divsChild>
                <w:div w:id="207893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253193">
      <w:bodyDiv w:val="1"/>
      <w:marLeft w:val="0"/>
      <w:marRight w:val="0"/>
      <w:marTop w:val="0"/>
      <w:marBottom w:val="0"/>
      <w:divBdr>
        <w:top w:val="none" w:sz="0" w:space="0" w:color="auto"/>
        <w:left w:val="none" w:sz="0" w:space="0" w:color="auto"/>
        <w:bottom w:val="none" w:sz="0" w:space="0" w:color="auto"/>
        <w:right w:val="none" w:sz="0" w:space="0" w:color="auto"/>
      </w:divBdr>
      <w:divsChild>
        <w:div w:id="1852990762">
          <w:marLeft w:val="0"/>
          <w:marRight w:val="0"/>
          <w:marTop w:val="0"/>
          <w:marBottom w:val="0"/>
          <w:divBdr>
            <w:top w:val="none" w:sz="0" w:space="0" w:color="auto"/>
            <w:left w:val="none" w:sz="0" w:space="0" w:color="auto"/>
            <w:bottom w:val="none" w:sz="0" w:space="0" w:color="auto"/>
            <w:right w:val="none" w:sz="0" w:space="0" w:color="auto"/>
          </w:divBdr>
          <w:divsChild>
            <w:div w:id="1232232327">
              <w:marLeft w:val="0"/>
              <w:marRight w:val="0"/>
              <w:marTop w:val="0"/>
              <w:marBottom w:val="0"/>
              <w:divBdr>
                <w:top w:val="none" w:sz="0" w:space="0" w:color="auto"/>
                <w:left w:val="none" w:sz="0" w:space="0" w:color="auto"/>
                <w:bottom w:val="none" w:sz="0" w:space="0" w:color="auto"/>
                <w:right w:val="none" w:sz="0" w:space="0" w:color="auto"/>
              </w:divBdr>
              <w:divsChild>
                <w:div w:id="1136727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281028">
      <w:bodyDiv w:val="1"/>
      <w:marLeft w:val="0"/>
      <w:marRight w:val="0"/>
      <w:marTop w:val="0"/>
      <w:marBottom w:val="0"/>
      <w:divBdr>
        <w:top w:val="none" w:sz="0" w:space="0" w:color="auto"/>
        <w:left w:val="none" w:sz="0" w:space="0" w:color="auto"/>
        <w:bottom w:val="none" w:sz="0" w:space="0" w:color="auto"/>
        <w:right w:val="none" w:sz="0" w:space="0" w:color="auto"/>
      </w:divBdr>
    </w:div>
    <w:div w:id="1031882552">
      <w:bodyDiv w:val="1"/>
      <w:marLeft w:val="0"/>
      <w:marRight w:val="0"/>
      <w:marTop w:val="0"/>
      <w:marBottom w:val="0"/>
      <w:divBdr>
        <w:top w:val="none" w:sz="0" w:space="0" w:color="auto"/>
        <w:left w:val="none" w:sz="0" w:space="0" w:color="auto"/>
        <w:bottom w:val="none" w:sz="0" w:space="0" w:color="auto"/>
        <w:right w:val="none" w:sz="0" w:space="0" w:color="auto"/>
      </w:divBdr>
      <w:divsChild>
        <w:div w:id="1927227143">
          <w:marLeft w:val="0"/>
          <w:marRight w:val="0"/>
          <w:marTop w:val="0"/>
          <w:marBottom w:val="0"/>
          <w:divBdr>
            <w:top w:val="none" w:sz="0" w:space="0" w:color="auto"/>
            <w:left w:val="none" w:sz="0" w:space="0" w:color="auto"/>
            <w:bottom w:val="none" w:sz="0" w:space="0" w:color="auto"/>
            <w:right w:val="none" w:sz="0" w:space="0" w:color="auto"/>
          </w:divBdr>
          <w:divsChild>
            <w:div w:id="1787693944">
              <w:marLeft w:val="0"/>
              <w:marRight w:val="0"/>
              <w:marTop w:val="0"/>
              <w:marBottom w:val="0"/>
              <w:divBdr>
                <w:top w:val="none" w:sz="0" w:space="0" w:color="auto"/>
                <w:left w:val="none" w:sz="0" w:space="0" w:color="auto"/>
                <w:bottom w:val="none" w:sz="0" w:space="0" w:color="auto"/>
                <w:right w:val="none" w:sz="0" w:space="0" w:color="auto"/>
              </w:divBdr>
              <w:divsChild>
                <w:div w:id="1999266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772002">
      <w:bodyDiv w:val="1"/>
      <w:marLeft w:val="0"/>
      <w:marRight w:val="0"/>
      <w:marTop w:val="0"/>
      <w:marBottom w:val="0"/>
      <w:divBdr>
        <w:top w:val="none" w:sz="0" w:space="0" w:color="auto"/>
        <w:left w:val="none" w:sz="0" w:space="0" w:color="auto"/>
        <w:bottom w:val="none" w:sz="0" w:space="0" w:color="auto"/>
        <w:right w:val="none" w:sz="0" w:space="0" w:color="auto"/>
      </w:divBdr>
      <w:divsChild>
        <w:div w:id="1116949828">
          <w:marLeft w:val="0"/>
          <w:marRight w:val="0"/>
          <w:marTop w:val="0"/>
          <w:marBottom w:val="0"/>
          <w:divBdr>
            <w:top w:val="none" w:sz="0" w:space="0" w:color="auto"/>
            <w:left w:val="none" w:sz="0" w:space="0" w:color="auto"/>
            <w:bottom w:val="none" w:sz="0" w:space="0" w:color="auto"/>
            <w:right w:val="none" w:sz="0" w:space="0" w:color="auto"/>
          </w:divBdr>
          <w:divsChild>
            <w:div w:id="855457564">
              <w:marLeft w:val="0"/>
              <w:marRight w:val="0"/>
              <w:marTop w:val="0"/>
              <w:marBottom w:val="0"/>
              <w:divBdr>
                <w:top w:val="none" w:sz="0" w:space="0" w:color="auto"/>
                <w:left w:val="none" w:sz="0" w:space="0" w:color="auto"/>
                <w:bottom w:val="none" w:sz="0" w:space="0" w:color="auto"/>
                <w:right w:val="none" w:sz="0" w:space="0" w:color="auto"/>
              </w:divBdr>
              <w:divsChild>
                <w:div w:id="13776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906883">
      <w:bodyDiv w:val="1"/>
      <w:marLeft w:val="0"/>
      <w:marRight w:val="0"/>
      <w:marTop w:val="0"/>
      <w:marBottom w:val="0"/>
      <w:divBdr>
        <w:top w:val="none" w:sz="0" w:space="0" w:color="auto"/>
        <w:left w:val="none" w:sz="0" w:space="0" w:color="auto"/>
        <w:bottom w:val="none" w:sz="0" w:space="0" w:color="auto"/>
        <w:right w:val="none" w:sz="0" w:space="0" w:color="auto"/>
      </w:divBdr>
      <w:divsChild>
        <w:div w:id="252474014">
          <w:marLeft w:val="0"/>
          <w:marRight w:val="0"/>
          <w:marTop w:val="0"/>
          <w:marBottom w:val="0"/>
          <w:divBdr>
            <w:top w:val="none" w:sz="0" w:space="0" w:color="auto"/>
            <w:left w:val="none" w:sz="0" w:space="0" w:color="auto"/>
            <w:bottom w:val="none" w:sz="0" w:space="0" w:color="auto"/>
            <w:right w:val="none" w:sz="0" w:space="0" w:color="auto"/>
          </w:divBdr>
          <w:divsChild>
            <w:div w:id="1988312796">
              <w:marLeft w:val="0"/>
              <w:marRight w:val="0"/>
              <w:marTop w:val="0"/>
              <w:marBottom w:val="0"/>
              <w:divBdr>
                <w:top w:val="none" w:sz="0" w:space="0" w:color="auto"/>
                <w:left w:val="none" w:sz="0" w:space="0" w:color="auto"/>
                <w:bottom w:val="none" w:sz="0" w:space="0" w:color="auto"/>
                <w:right w:val="none" w:sz="0" w:space="0" w:color="auto"/>
              </w:divBdr>
              <w:divsChild>
                <w:div w:id="1720788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23647059-CDF5-F647-B700-7ACEF382B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6315</Words>
  <Characters>36002</Characters>
  <Application>Microsoft Macintosh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42233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2018-09-26T22:04:00Z</cp:lastPrinted>
  <dcterms:created xsi:type="dcterms:W3CDTF">2018-11-16T16:26:00Z</dcterms:created>
  <dcterms:modified xsi:type="dcterms:W3CDTF">2018-11-20T13:49:00Z</dcterms:modified>
  <cp:category/>
</cp:coreProperties>
</file>