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E551" w14:textId="20C4B112" w:rsidR="00F0497A" w:rsidRDefault="00F0497A" w:rsidP="009377A2">
      <w:pPr>
        <w:jc w:val="center"/>
        <w:rPr>
          <w:b/>
          <w:color w:val="auto"/>
          <w:sz w:val="40"/>
          <w:szCs w:val="36"/>
        </w:rPr>
      </w:pPr>
      <w:r>
        <w:rPr>
          <w:b/>
          <w:color w:val="auto"/>
          <w:sz w:val="40"/>
          <w:szCs w:val="36"/>
        </w:rPr>
        <w:t>Eastern Academy of Management</w:t>
      </w:r>
    </w:p>
    <w:p w14:paraId="34C9B650" w14:textId="6DF6EEC2" w:rsidR="00F0497A" w:rsidRDefault="00F0497A" w:rsidP="009377A2">
      <w:pPr>
        <w:jc w:val="center"/>
        <w:rPr>
          <w:b/>
          <w:color w:val="auto"/>
          <w:sz w:val="40"/>
          <w:szCs w:val="36"/>
        </w:rPr>
      </w:pPr>
      <w:r>
        <w:rPr>
          <w:b/>
          <w:color w:val="auto"/>
          <w:sz w:val="40"/>
          <w:szCs w:val="36"/>
        </w:rPr>
        <w:t>2019 Proceedings</w:t>
      </w:r>
    </w:p>
    <w:p w14:paraId="35326BE8" w14:textId="77777777" w:rsidR="004D0DD5" w:rsidRDefault="004D0DD5" w:rsidP="009377A2">
      <w:pPr>
        <w:jc w:val="center"/>
        <w:rPr>
          <w:b/>
          <w:color w:val="auto"/>
          <w:sz w:val="40"/>
          <w:szCs w:val="36"/>
        </w:rPr>
      </w:pPr>
    </w:p>
    <w:p w14:paraId="59BDED7C" w14:textId="77777777" w:rsidR="00F0497A" w:rsidRDefault="00F0497A" w:rsidP="009377A2">
      <w:pPr>
        <w:jc w:val="center"/>
        <w:rPr>
          <w:b/>
          <w:color w:val="auto"/>
          <w:sz w:val="40"/>
          <w:szCs w:val="36"/>
        </w:rPr>
      </w:pPr>
    </w:p>
    <w:p w14:paraId="22815011" w14:textId="5BF44D93" w:rsidR="00F0497A" w:rsidRPr="00C50FB6" w:rsidRDefault="00523331" w:rsidP="009377A2">
      <w:pPr>
        <w:jc w:val="center"/>
        <w:rPr>
          <w:color w:val="auto"/>
          <w:sz w:val="40"/>
          <w:szCs w:val="36"/>
        </w:rPr>
      </w:pPr>
      <w:r w:rsidRPr="00523331">
        <w:rPr>
          <w:b/>
          <w:color w:val="auto"/>
          <w:sz w:val="40"/>
          <w:szCs w:val="36"/>
        </w:rPr>
        <w:t>Using Experiential Learning to Discover Gender and Diversity Bias in HR practices</w:t>
      </w:r>
      <w:r w:rsidRPr="00523331">
        <w:rPr>
          <w:b/>
          <w:color w:val="auto"/>
          <w:sz w:val="40"/>
          <w:szCs w:val="36"/>
        </w:rPr>
        <w:cr/>
      </w:r>
    </w:p>
    <w:p w14:paraId="0A7EEC1E" w14:textId="77777777" w:rsidR="00800857" w:rsidRPr="00C50FB6" w:rsidRDefault="00800857" w:rsidP="009377A2">
      <w:pPr>
        <w:jc w:val="center"/>
        <w:rPr>
          <w:rFonts w:ascii="Arial" w:eastAsia="Arial" w:hAnsi="Arial" w:cs="Arial"/>
          <w:color w:val="auto"/>
          <w:sz w:val="36"/>
          <w:szCs w:val="36"/>
        </w:rPr>
        <w:sectPr w:rsidR="00800857" w:rsidRPr="00C50FB6">
          <w:pgSz w:w="12240" w:h="15840"/>
          <w:pgMar w:top="1008" w:right="1008" w:bottom="1008" w:left="1008" w:header="0" w:footer="720" w:gutter="0"/>
          <w:pgNumType w:start="1"/>
          <w:cols w:space="720"/>
        </w:sectPr>
      </w:pPr>
    </w:p>
    <w:tbl>
      <w:tblPr>
        <w:tblW w:w="13140" w:type="dxa"/>
        <w:tblLayout w:type="fixed"/>
        <w:tblLook w:val="04A0" w:firstRow="1" w:lastRow="0" w:firstColumn="1" w:lastColumn="0" w:noHBand="0" w:noVBand="1"/>
      </w:tblPr>
      <w:tblGrid>
        <w:gridCol w:w="5310"/>
        <w:gridCol w:w="4680"/>
        <w:gridCol w:w="3150"/>
      </w:tblGrid>
      <w:tr w:rsidR="00F0497A" w:rsidRPr="00C50FB6" w14:paraId="274527F8" w14:textId="3994DE7A" w:rsidTr="00523331">
        <w:tc>
          <w:tcPr>
            <w:tcW w:w="5310" w:type="dxa"/>
          </w:tcPr>
          <w:p w14:paraId="1D74B2DC" w14:textId="77777777" w:rsidR="00F0497A" w:rsidRDefault="00F0497A" w:rsidP="00F0497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2"/>
                <w:szCs w:val="20"/>
              </w:rPr>
              <w:t>Noel Criscione-Naylor</w:t>
            </w:r>
          </w:p>
          <w:p w14:paraId="20FE6C1A" w14:textId="77777777" w:rsidR="00F0497A" w:rsidRDefault="00F0497A" w:rsidP="00F0497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Hospitality, Tourism, and Event </w:t>
            </w:r>
            <w:r w:rsidRPr="00392D56">
              <w:rPr>
                <w:color w:val="auto"/>
                <w:sz w:val="20"/>
                <w:szCs w:val="20"/>
              </w:rPr>
              <w:t>Management</w:t>
            </w:r>
            <w:r>
              <w:rPr>
                <w:color w:val="auto"/>
                <w:sz w:val="20"/>
                <w:szCs w:val="20"/>
              </w:rPr>
              <w:t xml:space="preserve"> Studies</w:t>
            </w:r>
          </w:p>
          <w:p w14:paraId="6DA40366" w14:textId="5B85F48A" w:rsidR="00F0497A" w:rsidRPr="00C50FB6" w:rsidRDefault="00F0497A" w:rsidP="00F0497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Stockton University</w:t>
            </w:r>
            <w:r w:rsidRPr="00392D56">
              <w:rPr>
                <w:color w:val="auto"/>
                <w:sz w:val="20"/>
                <w:szCs w:val="20"/>
              </w:rPr>
              <w:br/>
              <w:t>(609) 992-4714</w:t>
            </w:r>
            <w:r w:rsidRPr="00392D56">
              <w:rPr>
                <w:color w:val="auto"/>
                <w:sz w:val="20"/>
                <w:szCs w:val="20"/>
              </w:rPr>
              <w:br/>
            </w:r>
            <w:r w:rsidRPr="00392D56">
              <w:rPr>
                <w:i/>
                <w:color w:val="auto"/>
                <w:sz w:val="20"/>
                <w:szCs w:val="20"/>
              </w:rPr>
              <w:t>noel.criscione@stockton.edu</w:t>
            </w:r>
          </w:p>
        </w:tc>
        <w:tc>
          <w:tcPr>
            <w:tcW w:w="4680" w:type="dxa"/>
          </w:tcPr>
          <w:p w14:paraId="42473D4D" w14:textId="1943FA8D" w:rsidR="00F0497A" w:rsidRDefault="00523331" w:rsidP="00FF27F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2"/>
                <w:szCs w:val="20"/>
              </w:rPr>
              <w:t xml:space="preserve">Robin </w:t>
            </w:r>
            <w:proofErr w:type="spellStart"/>
            <w:r>
              <w:rPr>
                <w:b/>
                <w:i/>
                <w:color w:val="auto"/>
                <w:sz w:val="22"/>
                <w:szCs w:val="20"/>
              </w:rPr>
              <w:t>Frkal</w:t>
            </w:r>
            <w:proofErr w:type="spellEnd"/>
          </w:p>
          <w:p w14:paraId="2A43F954" w14:textId="41219007" w:rsidR="00F0497A" w:rsidRDefault="00523331" w:rsidP="00FF27F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Graduate Studies</w:t>
            </w:r>
          </w:p>
          <w:p w14:paraId="482359D0" w14:textId="301F66FF" w:rsidR="00F0497A" w:rsidRPr="00392D56" w:rsidRDefault="00523331" w:rsidP="00FF27F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Assumption College</w:t>
            </w:r>
            <w:r w:rsidR="00F0497A" w:rsidRPr="00392D56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(</w:t>
            </w:r>
            <w:r w:rsidRPr="00523331">
              <w:rPr>
                <w:color w:val="auto"/>
                <w:sz w:val="20"/>
                <w:szCs w:val="20"/>
              </w:rPr>
              <w:t>508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 w:rsidRPr="00523331">
              <w:rPr>
                <w:color w:val="auto"/>
                <w:sz w:val="20"/>
                <w:szCs w:val="20"/>
              </w:rPr>
              <w:t>767-7622</w:t>
            </w:r>
            <w:r w:rsidR="00F0497A" w:rsidRPr="00392D56">
              <w:rPr>
                <w:color w:val="auto"/>
                <w:sz w:val="20"/>
                <w:szCs w:val="20"/>
              </w:rPr>
              <w:br/>
            </w:r>
            <w:r w:rsidRPr="00523331">
              <w:rPr>
                <w:i/>
                <w:color w:val="auto"/>
                <w:sz w:val="20"/>
                <w:szCs w:val="20"/>
              </w:rPr>
              <w:t>ra.frkal@assumption.edu</w:t>
            </w:r>
          </w:p>
        </w:tc>
        <w:tc>
          <w:tcPr>
            <w:tcW w:w="3150" w:type="dxa"/>
          </w:tcPr>
          <w:p w14:paraId="0F3960D9" w14:textId="4650F9C9" w:rsidR="00F0497A" w:rsidRPr="00FF27F3" w:rsidRDefault="00F0497A" w:rsidP="00523331">
            <w:pPr>
              <w:rPr>
                <w:i/>
                <w:color w:val="auto"/>
                <w:sz w:val="20"/>
                <w:szCs w:val="20"/>
                <w:highlight w:val="cyan"/>
              </w:rPr>
            </w:pPr>
          </w:p>
        </w:tc>
      </w:tr>
    </w:tbl>
    <w:p w14:paraId="1208FF97" w14:textId="77777777" w:rsidR="00FF27F3" w:rsidRDefault="00FF27F3" w:rsidP="00FF27F3">
      <w:pPr>
        <w:rPr>
          <w:b/>
          <w:i/>
          <w:color w:val="auto"/>
          <w:sz w:val="22"/>
          <w:szCs w:val="20"/>
        </w:rPr>
        <w:sectPr w:rsidR="00FF27F3" w:rsidSect="004B3A13">
          <w:type w:val="continuous"/>
          <w:pgSz w:w="12240" w:h="15840"/>
          <w:pgMar w:top="1008" w:right="1008" w:bottom="1008" w:left="1008" w:header="0" w:footer="720" w:gutter="0"/>
          <w:cols w:space="720"/>
        </w:sectPr>
      </w:pPr>
    </w:p>
    <w:p w14:paraId="689C68D3" w14:textId="77777777" w:rsidR="00FF27F3" w:rsidRPr="00C50FB6" w:rsidRDefault="00FF27F3" w:rsidP="00FF27F3">
      <w:pPr>
        <w:rPr>
          <w:b/>
          <w:color w:val="auto"/>
          <w:sz w:val="20"/>
          <w:szCs w:val="20"/>
        </w:rPr>
      </w:pPr>
    </w:p>
    <w:p w14:paraId="03EEE786" w14:textId="6A627E9E" w:rsidR="009377A2" w:rsidRDefault="009377A2" w:rsidP="009377A2">
      <w:pPr>
        <w:rPr>
          <w:b/>
          <w:i/>
          <w:color w:val="auto"/>
          <w:sz w:val="22"/>
          <w:szCs w:val="22"/>
        </w:rPr>
      </w:pPr>
      <w:r w:rsidRPr="004D0DD5">
        <w:rPr>
          <w:b/>
          <w:i/>
          <w:color w:val="auto"/>
          <w:sz w:val="22"/>
          <w:szCs w:val="22"/>
        </w:rPr>
        <w:t xml:space="preserve">ABSTRACT </w:t>
      </w:r>
    </w:p>
    <w:p w14:paraId="5FA05D58" w14:textId="77777777" w:rsidR="004D0DD5" w:rsidRPr="004D0DD5" w:rsidRDefault="004D0DD5" w:rsidP="009377A2">
      <w:pPr>
        <w:rPr>
          <w:color w:val="auto"/>
          <w:sz w:val="22"/>
          <w:szCs w:val="22"/>
        </w:rPr>
      </w:pPr>
    </w:p>
    <w:p w14:paraId="4BD0AC76" w14:textId="231B01AE" w:rsidR="00523331" w:rsidRPr="00523331" w:rsidRDefault="00523331" w:rsidP="009377A2">
      <w:pPr>
        <w:spacing w:after="240"/>
        <w:rPr>
          <w:sz w:val="22"/>
          <w:szCs w:val="22"/>
        </w:rPr>
      </w:pPr>
      <w:r w:rsidRPr="00523331">
        <w:rPr>
          <w:sz w:val="22"/>
          <w:szCs w:val="22"/>
        </w:rPr>
        <w:t xml:space="preserve">This experiential learning session will help participants teaching undergraduate and graduate courses in human resource management or related courses to incorporate a relevant experiential learning exercise in the classroom. The session includes an exercise with multiple rounds of candidate selection that have been used successfully by a management educator teaching Human Resource Management and related subjects. The exercise addresses selection process challenges, gender bias, diversity, and stereotypes. Based on a </w:t>
      </w:r>
      <w:r w:rsidRPr="00523331">
        <w:rPr>
          <w:sz w:val="22"/>
          <w:szCs w:val="22"/>
        </w:rPr>
        <w:t>one-hour</w:t>
      </w:r>
      <w:r w:rsidRPr="00523331">
        <w:rPr>
          <w:sz w:val="22"/>
          <w:szCs w:val="22"/>
        </w:rPr>
        <w:t xml:space="preserve"> workshop, session attendees will be able to participate in each round of the exercise and participate in a final large group debrief session. </w:t>
      </w:r>
    </w:p>
    <w:p w14:paraId="265C1997" w14:textId="4FEE2F8C" w:rsidR="009377A2" w:rsidRPr="004D0DD5" w:rsidRDefault="009377A2" w:rsidP="009377A2">
      <w:pPr>
        <w:spacing w:after="240"/>
        <w:rPr>
          <w:color w:val="auto"/>
          <w:sz w:val="22"/>
          <w:szCs w:val="22"/>
        </w:rPr>
      </w:pPr>
      <w:r w:rsidRPr="004D0DD5">
        <w:rPr>
          <w:b/>
          <w:color w:val="auto"/>
          <w:sz w:val="22"/>
          <w:szCs w:val="22"/>
        </w:rPr>
        <w:t xml:space="preserve">Keywords </w:t>
      </w:r>
      <w:r w:rsidRPr="004D0DD5">
        <w:rPr>
          <w:color w:val="auto"/>
          <w:sz w:val="22"/>
          <w:szCs w:val="22"/>
        </w:rPr>
        <w:br/>
      </w:r>
      <w:r w:rsidR="00523331">
        <w:rPr>
          <w:color w:val="auto"/>
          <w:sz w:val="22"/>
          <w:szCs w:val="22"/>
        </w:rPr>
        <w:t>Human Resources, experiential learning, hiring, candidate selection, resume, stereotype, activity</w:t>
      </w:r>
    </w:p>
    <w:p w14:paraId="364E7851" w14:textId="51023FEA" w:rsidR="009377A2" w:rsidRPr="004D0DD5" w:rsidRDefault="00FF27F3" w:rsidP="009377A2">
      <w:pPr>
        <w:rPr>
          <w:color w:val="auto"/>
          <w:sz w:val="22"/>
          <w:szCs w:val="22"/>
        </w:rPr>
      </w:pPr>
      <w:r w:rsidRPr="004D0DD5">
        <w:rPr>
          <w:b/>
          <w:color w:val="auto"/>
          <w:sz w:val="22"/>
          <w:szCs w:val="22"/>
        </w:rPr>
        <w:t xml:space="preserve">1 </w:t>
      </w:r>
      <w:r w:rsidR="00523331">
        <w:rPr>
          <w:b/>
          <w:color w:val="auto"/>
          <w:sz w:val="22"/>
          <w:szCs w:val="22"/>
        </w:rPr>
        <w:t>WHY THIS WORKSHOP SHOULD BE ON INTEREST</w:t>
      </w:r>
      <w:r w:rsidR="009377A2" w:rsidRPr="004D0DD5">
        <w:rPr>
          <w:b/>
          <w:color w:val="auto"/>
          <w:sz w:val="22"/>
          <w:szCs w:val="22"/>
        </w:rPr>
        <w:t xml:space="preserve"> </w:t>
      </w:r>
    </w:p>
    <w:p w14:paraId="6BB64B56" w14:textId="77777777" w:rsidR="00523331" w:rsidRDefault="00523331" w:rsidP="00523331">
      <w:pPr>
        <w:jc w:val="both"/>
        <w:rPr>
          <w:color w:val="auto"/>
          <w:sz w:val="22"/>
          <w:szCs w:val="22"/>
        </w:rPr>
      </w:pPr>
    </w:p>
    <w:p w14:paraId="38B09812" w14:textId="4BA3F336" w:rsidR="00523331" w:rsidRPr="00523331" w:rsidRDefault="00523331" w:rsidP="00523331">
      <w:pPr>
        <w:jc w:val="both"/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The Experiential Learning Association (ELA) is committed to the development, use, and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dissemination of experiential learning exercises. The overarching goal of this session is to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increase participants’ knowledge of using an experiential learning exercise that exposes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participants to a series of unconscious and conscious biases related to gender and diversity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within a human resource process framework that can be used when teaching business courses.</w:t>
      </w:r>
    </w:p>
    <w:p w14:paraId="12FCA952" w14:textId="21260BEB" w:rsidR="00F0497A" w:rsidRDefault="00523331" w:rsidP="00523331">
      <w:pPr>
        <w:jc w:val="both"/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In alignment with the conference theme, this session will help to position educators to “set the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tone for change, guide sensemaking and contribute to understanding” with the critical and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complex topics of gender and diversity bias in the selection and recruitment process.</w:t>
      </w:r>
    </w:p>
    <w:p w14:paraId="5DDCA0E3" w14:textId="77777777" w:rsidR="00523331" w:rsidRPr="004D0DD5" w:rsidRDefault="00523331" w:rsidP="00523331">
      <w:pPr>
        <w:jc w:val="both"/>
        <w:rPr>
          <w:color w:val="auto"/>
          <w:sz w:val="22"/>
          <w:szCs w:val="22"/>
        </w:rPr>
      </w:pPr>
    </w:p>
    <w:p w14:paraId="67FA867F" w14:textId="51FD3A84" w:rsidR="00FD5AB4" w:rsidRDefault="00523331" w:rsidP="00FD5AB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2 SESSION </w:t>
      </w:r>
      <w:proofErr w:type="gramStart"/>
      <w:r>
        <w:rPr>
          <w:b/>
          <w:color w:val="auto"/>
          <w:sz w:val="22"/>
          <w:szCs w:val="22"/>
        </w:rPr>
        <w:t>OVERVIEW</w:t>
      </w:r>
      <w:proofErr w:type="gramEnd"/>
    </w:p>
    <w:p w14:paraId="0640CE53" w14:textId="77777777" w:rsidR="004D0DD5" w:rsidRPr="004D0DD5" w:rsidRDefault="004D0DD5" w:rsidP="00FD5AB4">
      <w:pPr>
        <w:rPr>
          <w:b/>
          <w:color w:val="auto"/>
          <w:sz w:val="22"/>
          <w:szCs w:val="22"/>
        </w:rPr>
      </w:pPr>
    </w:p>
    <w:p w14:paraId="44272CB5" w14:textId="606692BE" w:rsidR="00F0497A" w:rsidRPr="004D0DD5" w:rsidRDefault="00523331" w:rsidP="00523331">
      <w:p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Discussion of unconscious bias relative to gender and diversity have heighten with social media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access as well as the #</w:t>
      </w:r>
      <w:proofErr w:type="spellStart"/>
      <w:r w:rsidRPr="00523331">
        <w:rPr>
          <w:color w:val="auto"/>
          <w:sz w:val="22"/>
          <w:szCs w:val="22"/>
        </w:rPr>
        <w:t>metoo</w:t>
      </w:r>
      <w:proofErr w:type="spellEnd"/>
      <w:r w:rsidRPr="00523331">
        <w:rPr>
          <w:color w:val="auto"/>
          <w:sz w:val="22"/>
          <w:szCs w:val="22"/>
        </w:rPr>
        <w:t xml:space="preserve"> movement. Employers are challenged to respond and develop a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culture of respect, employ equitable hiring practices, and combat conscious and unconscious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bias relative to gender and diversity. Through a series of rounds, this exercise will help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participants to understand and recognize their own biases and tendencies during employee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recruitment and hiring activities. Working in small groups (tables), participants will be given sets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of candidate resumes/pictures. Participants will be asked to evaluate each set independently to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ultimately select candidates that should progress to the interview stage of the selection process.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Participants will then have an opportunity to watch brief video clips of all candidates to reflect on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the first round of their candidate selection process. As part of the final round, each group will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reveal their final candidate selections and reflect on biases uncovered in the process. The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 xml:space="preserve">activity </w:t>
      </w:r>
      <w:proofErr w:type="gramStart"/>
      <w:r w:rsidRPr="00523331">
        <w:rPr>
          <w:color w:val="auto"/>
          <w:sz w:val="22"/>
          <w:szCs w:val="22"/>
        </w:rPr>
        <w:t>debrief</w:t>
      </w:r>
      <w:proofErr w:type="gramEnd"/>
      <w:r w:rsidRPr="00523331">
        <w:rPr>
          <w:color w:val="auto"/>
          <w:sz w:val="22"/>
          <w:szCs w:val="22"/>
        </w:rPr>
        <w:t xml:space="preserve"> and past student experiences will be shared by the facilitator.</w:t>
      </w:r>
      <w:r w:rsidRPr="00523331">
        <w:rPr>
          <w:color w:val="auto"/>
          <w:sz w:val="22"/>
          <w:szCs w:val="22"/>
        </w:rPr>
        <w:cr/>
      </w:r>
    </w:p>
    <w:p w14:paraId="7D297B8F" w14:textId="2A4D87C5" w:rsidR="00F0497A" w:rsidRDefault="00F0497A" w:rsidP="00FD5AB4">
      <w:pPr>
        <w:rPr>
          <w:b/>
          <w:color w:val="auto"/>
          <w:sz w:val="22"/>
          <w:szCs w:val="22"/>
        </w:rPr>
      </w:pPr>
      <w:r w:rsidRPr="004D0DD5">
        <w:rPr>
          <w:b/>
          <w:color w:val="auto"/>
          <w:sz w:val="22"/>
          <w:szCs w:val="22"/>
        </w:rPr>
        <w:t xml:space="preserve">3 </w:t>
      </w:r>
      <w:r w:rsidR="00523331">
        <w:rPr>
          <w:b/>
          <w:color w:val="auto"/>
          <w:sz w:val="22"/>
          <w:szCs w:val="22"/>
        </w:rPr>
        <w:t xml:space="preserve">SESSION </w:t>
      </w:r>
      <w:proofErr w:type="gramStart"/>
      <w:r w:rsidR="00523331">
        <w:rPr>
          <w:b/>
          <w:color w:val="auto"/>
          <w:sz w:val="22"/>
          <w:szCs w:val="22"/>
        </w:rPr>
        <w:t>FORMAT</w:t>
      </w:r>
      <w:proofErr w:type="gramEnd"/>
    </w:p>
    <w:p w14:paraId="32972E8C" w14:textId="77777777" w:rsidR="00523331" w:rsidRDefault="00523331" w:rsidP="00523331">
      <w:pPr>
        <w:rPr>
          <w:color w:val="auto"/>
          <w:sz w:val="22"/>
          <w:szCs w:val="22"/>
        </w:rPr>
      </w:pPr>
    </w:p>
    <w:p w14:paraId="4AE433EA" w14:textId="77777777" w:rsidR="00523331" w:rsidRDefault="00523331" w:rsidP="00523331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Welcome and Introduction by Session Organizer (5 minutes)</w:t>
      </w:r>
    </w:p>
    <w:p w14:paraId="00FF7964" w14:textId="77777777" w:rsidR="00523331" w:rsidRDefault="00523331" w:rsidP="00523331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Roundtable Facilitation of Candidate Selection (15 minutes)</w:t>
      </w:r>
    </w:p>
    <w:p w14:paraId="6A2CE66F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Each table will be provided with a job description and identify critical job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responsibilities/skills</w:t>
      </w:r>
    </w:p>
    <w:p w14:paraId="58C9FC63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Each table will be provided with sets of candidate resumes/pictures to review and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compare using the provided job description and the groups identified critical skills</w:t>
      </w:r>
    </w:p>
    <w:p w14:paraId="6B7A54FC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Each set (4 total sets) will be reviewed independently; the table will select one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candidate from each set to move forward in the selection process</w:t>
      </w:r>
    </w:p>
    <w:p w14:paraId="2CBE69CA" w14:textId="77777777" w:rsidR="00523331" w:rsidRDefault="00523331" w:rsidP="00523331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Roundtable Facilitation of Candidate Meet &amp; Greet (10 minutes</w:t>
      </w:r>
      <w:r>
        <w:rPr>
          <w:color w:val="auto"/>
          <w:sz w:val="22"/>
          <w:szCs w:val="22"/>
        </w:rPr>
        <w:t xml:space="preserve">) </w:t>
      </w:r>
    </w:p>
    <w:p w14:paraId="3C74A6F5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Large group will watch brief video clips of each candidate</w:t>
      </w:r>
    </w:p>
    <w:p w14:paraId="3FD6C1E9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Each table will re-evaluate selection decisions based on video clips and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document reason for selection changes (if any) and reduce selection to two final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candidates</w:t>
      </w:r>
    </w:p>
    <w:p w14:paraId="09E565DE" w14:textId="77777777" w:rsidR="00523331" w:rsidRDefault="00523331" w:rsidP="00523331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Large Group Summary Discussion (15 minutes)</w:t>
      </w:r>
    </w:p>
    <w:p w14:paraId="10CEBFED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Tables will reveal their critical job responsibilities/top candidates</w:t>
      </w:r>
    </w:p>
    <w:p w14:paraId="1E3B45B7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Facilitator to debrief activity steps and critically evaluate candidates and final</w:t>
      </w:r>
      <w:r>
        <w:rPr>
          <w:color w:val="auto"/>
          <w:sz w:val="22"/>
          <w:szCs w:val="22"/>
        </w:rPr>
        <w:t xml:space="preserve"> </w:t>
      </w:r>
      <w:r w:rsidRPr="00523331">
        <w:rPr>
          <w:color w:val="auto"/>
          <w:sz w:val="22"/>
          <w:szCs w:val="22"/>
        </w:rPr>
        <w:t>selections</w:t>
      </w:r>
    </w:p>
    <w:p w14:paraId="63B2DD6C" w14:textId="77777777" w:rsid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Lead discussion on evaluation techniques, challenges, personal bias</w:t>
      </w:r>
    </w:p>
    <w:p w14:paraId="49E46800" w14:textId="553EC25A" w:rsidR="004D0DD5" w:rsidRPr="00523331" w:rsidRDefault="00523331" w:rsidP="00523331">
      <w:pPr>
        <w:pStyle w:val="ListParagraph"/>
        <w:numPr>
          <w:ilvl w:val="1"/>
          <w:numId w:val="2"/>
        </w:numPr>
        <w:rPr>
          <w:color w:val="auto"/>
          <w:sz w:val="22"/>
          <w:szCs w:val="22"/>
        </w:rPr>
      </w:pPr>
      <w:r w:rsidRPr="00523331">
        <w:rPr>
          <w:color w:val="auto"/>
          <w:sz w:val="22"/>
          <w:szCs w:val="22"/>
        </w:rPr>
        <w:t>Discuss systematic strategies to eliminate bias from the selection process</w:t>
      </w:r>
    </w:p>
    <w:p w14:paraId="7BB592A2" w14:textId="77777777" w:rsidR="00523331" w:rsidRDefault="00523331" w:rsidP="00FD5AB4">
      <w:pPr>
        <w:rPr>
          <w:b/>
          <w:color w:val="auto"/>
          <w:sz w:val="22"/>
          <w:szCs w:val="22"/>
        </w:rPr>
      </w:pPr>
    </w:p>
    <w:p w14:paraId="553716B6" w14:textId="18E86104" w:rsidR="00F0497A" w:rsidRPr="004D0DD5" w:rsidRDefault="00523331" w:rsidP="00FD5AB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</w:t>
      </w:r>
      <w:r w:rsidR="00F0497A" w:rsidRPr="004D0DD5">
        <w:rPr>
          <w:b/>
          <w:color w:val="auto"/>
          <w:sz w:val="22"/>
          <w:szCs w:val="22"/>
        </w:rPr>
        <w:t xml:space="preserve"> </w:t>
      </w:r>
      <w:proofErr w:type="gramStart"/>
      <w:r w:rsidR="00F0497A" w:rsidRPr="004D0DD5">
        <w:rPr>
          <w:b/>
          <w:color w:val="auto"/>
          <w:sz w:val="22"/>
          <w:szCs w:val="22"/>
        </w:rPr>
        <w:t>CONCLUSION</w:t>
      </w:r>
      <w:proofErr w:type="gramEnd"/>
    </w:p>
    <w:p w14:paraId="0B1DE9BE" w14:textId="1F0CF959" w:rsidR="004D0DD5" w:rsidRDefault="004D0DD5" w:rsidP="00DF5D43">
      <w:pPr>
        <w:rPr>
          <w:color w:val="auto"/>
          <w:sz w:val="22"/>
          <w:szCs w:val="22"/>
        </w:rPr>
      </w:pPr>
    </w:p>
    <w:p w14:paraId="4FC6845A" w14:textId="6331375B" w:rsidR="00523331" w:rsidRPr="004D0DD5" w:rsidRDefault="00523331" w:rsidP="00DF5D4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Generating awareness of bias as part of classroom learning is important and can often be difficult for educators. Using this experiential learning activity provides a structured framework to promote </w:t>
      </w:r>
      <w:r w:rsidR="00A611D0">
        <w:rPr>
          <w:color w:val="auto"/>
          <w:sz w:val="22"/>
          <w:szCs w:val="22"/>
        </w:rPr>
        <w:t>appropriate conversations that explore personal bias as part of the hiring process and the existence of discrimination in the workplace. For a copy of all materials used in this session, please reach out directly to the main author.</w:t>
      </w:r>
      <w:bookmarkStart w:id="0" w:name="_GoBack"/>
      <w:bookmarkEnd w:id="0"/>
    </w:p>
    <w:p w14:paraId="58991D4C" w14:textId="4DDB2B8A" w:rsidR="007504D0" w:rsidRPr="004D0DD5" w:rsidRDefault="004B3A13" w:rsidP="004D0DD5">
      <w:pPr>
        <w:rPr>
          <w:b/>
          <w:i/>
          <w:color w:val="auto"/>
          <w:sz w:val="22"/>
          <w:szCs w:val="22"/>
        </w:rPr>
      </w:pPr>
      <w:r w:rsidRPr="004D0DD5">
        <w:rPr>
          <w:b/>
          <w:i/>
          <w:color w:val="auto"/>
          <w:sz w:val="22"/>
          <w:szCs w:val="22"/>
        </w:rPr>
        <w:t xml:space="preserve"> </w:t>
      </w:r>
    </w:p>
    <w:sectPr w:rsidR="007504D0" w:rsidRPr="004D0DD5" w:rsidSect="004B3A13">
      <w:type w:val="continuous"/>
      <w:pgSz w:w="12240" w:h="15840"/>
      <w:pgMar w:top="1008" w:right="1008" w:bottom="1008" w:left="10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F7470"/>
    <w:multiLevelType w:val="multilevel"/>
    <w:tmpl w:val="9F54C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E0220E"/>
    <w:multiLevelType w:val="hybridMultilevel"/>
    <w:tmpl w:val="5A5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LUwMjE3MTczNjBV0lEKTi0uzszPAymwqAUAXJjVNywAAAA="/>
  </w:docVars>
  <w:rsids>
    <w:rsidRoot w:val="009377A2"/>
    <w:rsid w:val="000A0DD9"/>
    <w:rsid w:val="001316F6"/>
    <w:rsid w:val="00160504"/>
    <w:rsid w:val="00173FCE"/>
    <w:rsid w:val="001D08D7"/>
    <w:rsid w:val="00217E0B"/>
    <w:rsid w:val="0022008B"/>
    <w:rsid w:val="002B1D80"/>
    <w:rsid w:val="00305940"/>
    <w:rsid w:val="00392D56"/>
    <w:rsid w:val="004B3A13"/>
    <w:rsid w:val="004D0DD5"/>
    <w:rsid w:val="004D43E1"/>
    <w:rsid w:val="00523331"/>
    <w:rsid w:val="00527240"/>
    <w:rsid w:val="00577C17"/>
    <w:rsid w:val="00673D9A"/>
    <w:rsid w:val="006A2C3C"/>
    <w:rsid w:val="00745033"/>
    <w:rsid w:val="007504D0"/>
    <w:rsid w:val="007669DC"/>
    <w:rsid w:val="00767D1D"/>
    <w:rsid w:val="00800857"/>
    <w:rsid w:val="009377A2"/>
    <w:rsid w:val="00961793"/>
    <w:rsid w:val="00A239BE"/>
    <w:rsid w:val="00A611D0"/>
    <w:rsid w:val="00A92065"/>
    <w:rsid w:val="00C50FB6"/>
    <w:rsid w:val="00C7553D"/>
    <w:rsid w:val="00CC1933"/>
    <w:rsid w:val="00D22C49"/>
    <w:rsid w:val="00D57ADA"/>
    <w:rsid w:val="00DF5D43"/>
    <w:rsid w:val="00E2158A"/>
    <w:rsid w:val="00EC3D27"/>
    <w:rsid w:val="00F0497A"/>
    <w:rsid w:val="00F1392A"/>
    <w:rsid w:val="00F353A4"/>
    <w:rsid w:val="00FD5AB4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9FD0"/>
  <w15:chartTrackingRefBased/>
  <w15:docId w15:val="{62DB4E4C-BCD0-4FDF-987D-EEAB0629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F27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1D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69DC"/>
    <w:rPr>
      <w:color w:val="954F72" w:themeColor="followedHyperlink"/>
      <w:u w:val="single"/>
    </w:rPr>
  </w:style>
  <w:style w:type="paragraph" w:customStyle="1" w:styleId="Default">
    <w:name w:val="Default"/>
    <w:rsid w:val="006A2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FB6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F27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2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9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6669-7434-4488-A93B-761ECFC1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Mukherjee, Amit</dc:creator>
  <cp:keywords/>
  <dc:description/>
  <cp:lastModifiedBy>Criscione, Noel</cp:lastModifiedBy>
  <cp:revision>3</cp:revision>
  <dcterms:created xsi:type="dcterms:W3CDTF">2019-08-31T14:18:00Z</dcterms:created>
  <dcterms:modified xsi:type="dcterms:W3CDTF">2019-08-31T14:30:00Z</dcterms:modified>
</cp:coreProperties>
</file>